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charts/chart10.xml" ContentType="application/vnd.openxmlformats-officedocument.drawingml.chart+xml"/>
  <Override PartName="/word/charts/chart9.xml" ContentType="application/vnd.openxmlformats-officedocument.drawingml.chart+xml"/>
  <Override PartName="/word/charts/chart8.xml" ContentType="application/vnd.openxmlformats-officedocument.drawingml.chart+xml"/>
  <Override PartName="/word/charts/chart7.xml" ContentType="application/vnd.openxmlformats-officedocument.drawingml.chart+xml"/>
  <Override PartName="/word/charts/chart6.xml" ContentType="application/vnd.openxmlformats-officedocument.drawingml.chart+xml"/>
  <Override PartName="/word/charts/chart5.xml" ContentType="application/vnd.openxmlformats-officedocument.drawingml.chart+xml"/>
  <Override PartName="/word/charts/chart2.xml" ContentType="application/vnd.openxmlformats-officedocument.drawingml.chart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1.xml" ContentType="application/vnd.openxmlformats-officedocument.drawingml.chart+xml"/>
  <Override PartName="/word/charts/chart3.xml" ContentType="application/vnd.openxmlformats-officedocument.drawingml.chart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charts/chart4.xml" ContentType="application/vnd.openxmlformats-officedocument.drawingml.chart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-1007308</wp:posOffset>
                </wp:positionH>
                <wp:positionV relativeFrom="paragraph">
                  <wp:posOffset>-731965</wp:posOffset>
                </wp:positionV>
                <wp:extent cx="7908966" cy="10812667"/>
                <wp:effectExtent l="0" t="0" r="0" b="8255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922099" cy="108306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60288;o:allowoverlap:true;o:allowincell:true;mso-position-horizontal-relative:text;margin-left:-79.32pt;mso-position-horizontal:absolute;mso-position-vertical-relative:text;margin-top:-57.64pt;mso-position-vertical:absolute;width:622.75pt;height:851.39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b/>
          <w:color w:val="ffffff" w:themeColor="background1"/>
          <w:sz w:val="31"/>
          <w:szCs w:val="31"/>
        </w:rPr>
      </w:pPr>
      <w:r>
        <w:rPr>
          <w:b/>
          <w:color w:val="ffffff" w:themeColor="background1"/>
          <w:sz w:val="31"/>
          <w:szCs w:val="31"/>
        </w:rPr>
        <w:t xml:space="preserve">СЧЕТНАЯ ПАЛАТА ЧУКОТСКОГО АВТОНОМНОГО </w:t>
      </w:r>
      <w:r>
        <w:rPr>
          <w:b/>
          <w:color w:val="ffffff" w:themeColor="background1"/>
          <w:sz w:val="31"/>
          <w:szCs w:val="31"/>
        </w:rPr>
        <w:t xml:space="preserve">О</w:t>
      </w:r>
      <w:r>
        <w:rPr>
          <w:b/>
          <w:color w:val="ffffff" w:themeColor="background1"/>
          <w:sz w:val="31"/>
          <w:szCs w:val="31"/>
        </w:rPr>
        <w:t xml:space="preserve">КРУГА</w:t>
      </w:r>
      <w:r>
        <w:rPr>
          <w:b/>
          <w:color w:val="ffffff" w:themeColor="background1"/>
          <w:sz w:val="31"/>
          <w:szCs w:val="31"/>
        </w:rPr>
      </w:r>
      <w:r>
        <w:rPr>
          <w:b/>
          <w:color w:val="ffffff" w:themeColor="background1"/>
          <w:sz w:val="31"/>
          <w:szCs w:val="31"/>
        </w:rPr>
      </w:r>
    </w:p>
    <w:p>
      <w:pPr>
        <w:spacing w:before="0" w:beforeAutospacing="0" w:after="0" w:afterAutospacing="0" w:line="240" w:lineRule="auto"/>
        <w:rPr>
          <w:b/>
          <w:color w:val="ffffff" w:themeColor="background1"/>
        </w:rPr>
      </w:pPr>
      <w:r>
        <w:rPr>
          <w:b/>
          <w:color w:val="ffffff" w:themeColor="background1"/>
        </w:rPr>
      </w:r>
      <w:r>
        <w:rPr>
          <w:b/>
          <w:color w:val="ffffff" w:themeColor="background1"/>
        </w:rPr>
      </w:r>
      <w:r>
        <w:rPr>
          <w:b/>
          <w:color w:val="ffffff" w:themeColor="background1"/>
        </w:rPr>
      </w:r>
    </w:p>
    <w:p>
      <w:pPr>
        <w:jc w:val="center"/>
        <w:spacing w:before="0" w:beforeAutospacing="0" w:after="0" w:afterAutospacing="0" w:line="240" w:lineRule="auto"/>
        <w:rPr>
          <w:b/>
          <w:color w:val="ffffff" w:themeColor="background1"/>
        </w:rPr>
      </w:pPr>
      <w:r>
        <w:rPr>
          <w:b/>
          <w:color w:val="ffffff" w:themeColor="background1"/>
        </w:rPr>
      </w:r>
      <w:r>
        <w:rPr>
          <w:b/>
          <w:color w:val="ffffff" w:themeColor="background1"/>
        </w:rPr>
      </w:r>
      <w:r>
        <w:rPr>
          <w:b/>
          <w:color w:val="ffffff" w:themeColor="background1"/>
        </w:rPr>
      </w:r>
    </w:p>
    <w:p>
      <w:pPr>
        <w:jc w:val="center"/>
        <w:spacing w:before="0" w:beforeAutospacing="0" w:after="0" w:afterAutospacing="0" w:line="240" w:lineRule="auto"/>
        <w:rPr>
          <w:b/>
          <w:color w:val="ffffff" w:themeColor="background1"/>
          <w:sz w:val="72"/>
        </w:rPr>
      </w:pPr>
      <w:r>
        <w:rPr>
          <w:b/>
          <w:color w:val="ffffff" w:themeColor="background1"/>
          <w:sz w:val="72"/>
        </w:rPr>
        <w:t xml:space="preserve">Б Ю Л </w:t>
      </w:r>
      <w:r>
        <w:rPr>
          <w:b/>
          <w:color w:val="ffffff" w:themeColor="background1"/>
          <w:sz w:val="72"/>
        </w:rPr>
        <w:t xml:space="preserve">Л</w:t>
      </w:r>
      <w:r>
        <w:rPr>
          <w:b/>
          <w:color w:val="ffffff" w:themeColor="background1"/>
          <w:sz w:val="72"/>
        </w:rPr>
        <w:t xml:space="preserve"> Е Т Е Н Ь</w:t>
      </w:r>
      <w:r>
        <w:rPr>
          <w:b/>
          <w:color w:val="ffffff" w:themeColor="background1"/>
          <w:sz w:val="72"/>
        </w:rPr>
      </w:r>
      <w:r>
        <w:rPr>
          <w:b/>
          <w:color w:val="ffffff" w:themeColor="background1"/>
          <w:sz w:val="72"/>
        </w:rPr>
      </w:r>
    </w:p>
    <w:p>
      <w:pPr>
        <w:jc w:val="center"/>
        <w:spacing w:before="0" w:beforeAutospacing="0" w:after="0" w:afterAutospacing="0" w:line="240" w:lineRule="auto"/>
        <w:rPr>
          <w:b/>
          <w:color w:val="ffffff" w:themeColor="background1"/>
          <w:sz w:val="72"/>
        </w:rPr>
      </w:pPr>
      <w:r>
        <w:rPr>
          <w:b/>
          <w:color w:val="ffffff" w:themeColor="background1"/>
          <w:sz w:val="72"/>
        </w:rPr>
        <w:t xml:space="preserve">№ </w:t>
      </w:r>
      <w:r>
        <w:rPr>
          <w:b/>
          <w:color w:val="ffffff" w:themeColor="background1"/>
          <w:sz w:val="72"/>
        </w:rPr>
        <w:t xml:space="preserve">2</w:t>
      </w:r>
      <w:r>
        <w:rPr>
          <w:b/>
          <w:color w:val="ffffff" w:themeColor="background1"/>
          <w:sz w:val="72"/>
        </w:rPr>
      </w:r>
      <w:r>
        <w:rPr>
          <w:b/>
          <w:color w:val="ffffff" w:themeColor="background1"/>
          <w:sz w:val="72"/>
        </w:rPr>
      </w:r>
    </w:p>
    <w:p>
      <w:pPr>
        <w:jc w:val="center"/>
        <w:spacing w:before="0" w:beforeAutospacing="0" w:after="0" w:afterAutospacing="0" w:line="240" w:lineRule="auto"/>
        <w:rPr>
          <w:b/>
          <w:color w:val="ffffff" w:themeColor="background1"/>
        </w:rPr>
      </w:pPr>
      <w:r>
        <w:rPr>
          <w:b/>
          <w:color w:val="ffffff" w:themeColor="background1"/>
        </w:rPr>
      </w:r>
      <w:r>
        <w:rPr>
          <w:b/>
          <w:color w:val="ffffff" w:themeColor="background1"/>
        </w:rPr>
      </w:r>
      <w:r>
        <w:rPr>
          <w:b/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spacing w:before="0" w:beforeAutospacing="0" w:after="0" w:afterAutospacing="0" w:line="240" w:lineRule="auto"/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jc w:val="center"/>
        <w:spacing w:before="0" w:beforeAutospacing="0" w:after="0" w:afterAutospacing="0" w:line="240" w:lineRule="auto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г.Анадырь</w:t>
      </w:r>
      <w:r>
        <w:rPr>
          <w:color w:val="ffffff" w:themeColor="background1"/>
          <w:sz w:val="28"/>
          <w:szCs w:val="28"/>
        </w:rPr>
      </w:r>
      <w:r>
        <w:rPr>
          <w:color w:val="ffffff" w:themeColor="background1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20</w:t>
      </w:r>
      <w:r>
        <w:rPr>
          <w:color w:val="ffffff" w:themeColor="background1"/>
          <w:sz w:val="28"/>
          <w:szCs w:val="28"/>
        </w:rPr>
        <w:t xml:space="preserve">2</w:t>
      </w:r>
      <w:r>
        <w:rPr>
          <w:color w:val="ffffff" w:themeColor="background1"/>
          <w:sz w:val="28"/>
          <w:szCs w:val="28"/>
        </w:rPr>
        <w:t xml:space="preserve">6</w:t>
      </w:r>
      <w:r>
        <w:rPr>
          <w:color w:val="ffffff" w:themeColor="background1"/>
          <w:sz w:val="28"/>
          <w:szCs w:val="28"/>
        </w:rPr>
        <w:t xml:space="preserve"> год</w:t>
      </w:r>
      <w:r>
        <w:rPr>
          <w:color w:val="ffffff" w:themeColor="background1"/>
          <w:sz w:val="28"/>
          <w:szCs w:val="28"/>
        </w:rPr>
      </w:r>
      <w:r>
        <w:rPr>
          <w:color w:val="ffffff" w:themeColor="background1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color w:val="000000" w:themeColor="text1"/>
          <w:sz w:val="26"/>
          <w:szCs w:val="26"/>
          <w:highlight w:val="none"/>
        </w:rPr>
      </w:pPr>
      <w:r>
        <w:rPr>
          <w:b/>
          <w:bCs/>
          <w:color w:val="000000" w:themeColor="text1"/>
          <w:sz w:val="26"/>
          <w:szCs w:val="26"/>
        </w:rPr>
        <w:t xml:space="preserve">СОДЕРЖАНИЕ</w:t>
      </w:r>
      <w:r>
        <w:rPr>
          <w:b/>
          <w:bCs/>
          <w:color w:val="000000" w:themeColor="text1"/>
          <w:sz w:val="26"/>
          <w:szCs w:val="26"/>
          <w:highlight w:val="none"/>
        </w:rPr>
      </w:r>
      <w:r>
        <w:rPr>
          <w:b/>
          <w:bCs/>
          <w:color w:val="000000" w:themeColor="text1"/>
          <w:sz w:val="26"/>
          <w:szCs w:val="26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jc w:val="both"/>
        <w:spacing w:before="0" w:beforeAutospacing="0" w:after="0" w:afterAutospacing="0" w:line="240" w:lineRule="auto"/>
        <w:rPr>
          <w:b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highlight w:val="none"/>
        </w:rPr>
        <w:t xml:space="preserve">1. </w:t>
      </w:r>
      <w:r>
        <w:rPr>
          <w:color w:val="000000" w:themeColor="text1"/>
          <w:sz w:val="26"/>
          <w:szCs w:val="26"/>
          <w:highlight w:val="none"/>
        </w:rPr>
        <w:t xml:space="preserve">ОТЧЕТ</w:t>
      </w:r>
      <w:r>
        <w:rPr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color w:val="000000" w:themeColor="text1"/>
          <w:sz w:val="26"/>
          <w:szCs w:val="26"/>
          <w:highlight w:val="none"/>
        </w:rPr>
        <w:t xml:space="preserve">о результатах контрольного мероприятия</w:t>
      </w:r>
      <w:r>
        <w:rPr>
          <w:bCs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eastAsia="Calibri"/>
          <w:bCs/>
          <w:color w:val="000000"/>
          <w:sz w:val="26"/>
          <w:szCs w:val="26"/>
          <w:highlight w:val="none"/>
        </w:rPr>
        <w:t xml:space="preserve">«</w:t>
      </w:r>
      <w:r>
        <w:rPr>
          <w:rFonts w:eastAsia="Calibri"/>
          <w:bCs/>
          <w:color w:val="000000"/>
          <w:sz w:val="26"/>
          <w:szCs w:val="26"/>
          <w:highlight w:val="none"/>
        </w:rPr>
        <w:t xml:space="preserve">П</w:t>
      </w:r>
      <w:r>
        <w:rPr>
          <w:rFonts w:eastAsia="Calibri"/>
          <w:bCs/>
          <w:color w:val="000000"/>
          <w:sz w:val="26"/>
          <w:szCs w:val="26"/>
        </w:rPr>
        <w:t xml:space="preserve">роверка реализации мероприятий по развитию жилищного строительства в селе Сиреники в рамках Государственной программы «Развитие жилищного строительства в Чукотском автономном округе» в 2025 году и истекшем периоде 2026 года</w:t>
      </w:r>
      <w:r>
        <w:rPr>
          <w:rFonts w:eastAsia="Calibri"/>
          <w:bCs/>
          <w:color w:val="000000"/>
          <w:sz w:val="26"/>
          <w:szCs w:val="26"/>
        </w:rPr>
        <w:t xml:space="preserve">»</w:t>
      </w:r>
      <w:r>
        <w:rPr>
          <w:color w:val="000000" w:themeColor="text1"/>
          <w:sz w:val="26"/>
          <w:szCs w:val="26"/>
          <w:lang w:eastAsia="en-US"/>
        </w:rPr>
        <w:t xml:space="preserve">…</w:t>
      </w:r>
      <w:r>
        <w:rPr>
          <w:color w:val="000000" w:themeColor="text1"/>
          <w:sz w:val="26"/>
          <w:szCs w:val="26"/>
          <w:lang w:eastAsia="en-US"/>
        </w:rPr>
        <w:t xml:space="preserve">……………</w:t>
      </w:r>
      <w:r>
        <w:rPr>
          <w:color w:val="000000" w:themeColor="text1"/>
          <w:sz w:val="26"/>
          <w:szCs w:val="26"/>
          <w:lang w:eastAsia="en-US"/>
        </w:rPr>
        <w:t xml:space="preserve">………………………………………………..................................….......3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jc w:val="both"/>
        <w:spacing w:before="0" w:beforeAutospacing="0" w:after="0" w:afterAutospacing="0" w:line="240" w:lineRule="auto"/>
        <w:rPr>
          <w:color w:val="000000" w:themeColor="text1"/>
          <w:sz w:val="26"/>
          <w:szCs w:val="26"/>
          <w:highlight w:val="none"/>
        </w:rPr>
      </w:pPr>
      <w:r>
        <w:rPr>
          <w:color w:val="000000" w:themeColor="text1"/>
          <w:sz w:val="26"/>
          <w:szCs w:val="26"/>
        </w:rPr>
        <w:t xml:space="preserve">2</w:t>
      </w:r>
      <w:r>
        <w:rPr>
          <w:color w:val="000000" w:themeColor="text1"/>
          <w:sz w:val="26"/>
          <w:szCs w:val="26"/>
          <w:highlight w:val="none"/>
        </w:rPr>
        <w:t xml:space="preserve">. </w:t>
      </w:r>
      <w:r>
        <w:rPr>
          <w:color w:val="000000" w:themeColor="text1"/>
          <w:sz w:val="26"/>
          <w:szCs w:val="26"/>
          <w:highlight w:val="none"/>
        </w:rPr>
        <w:t xml:space="preserve">ОТЧЕТ </w:t>
      </w:r>
      <w:r>
        <w:rPr>
          <w:bCs/>
          <w:color w:val="000000" w:themeColor="text1"/>
          <w:sz w:val="26"/>
          <w:szCs w:val="26"/>
          <w:highlight w:val="none"/>
        </w:rPr>
        <w:t xml:space="preserve">о результатах контрольного мероприятия</w:t>
      </w:r>
      <w:r>
        <w:rPr>
          <w:bCs/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sz w:val="26"/>
          <w:szCs w:val="26"/>
        </w:rPr>
        <w:t xml:space="preserve">«</w:t>
      </w:r>
      <w:r>
        <w:rPr>
          <w:bCs/>
          <w:sz w:val="26"/>
          <w:szCs w:val="26"/>
        </w:rPr>
        <w:t xml:space="preserve">Проверка использования бюджетных средств, направленных на 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 в 2025 году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………………….…..</w:t>
      </w:r>
      <w:r>
        <w:rPr>
          <w:color w:val="000000" w:themeColor="text1"/>
          <w:sz w:val="26"/>
          <w:szCs w:val="26"/>
        </w:rPr>
        <w:t xml:space="preserve">..</w:t>
      </w:r>
      <w:r>
        <w:rPr>
          <w:color w:val="000000" w:themeColor="text1"/>
          <w:sz w:val="26"/>
          <w:szCs w:val="26"/>
        </w:rPr>
        <w:t xml:space="preserve">…………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  <w:t xml:space="preserve">....................................................................................17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color w:val="000000" w:themeColor="text1"/>
          <w:sz w:val="26"/>
          <w:szCs w:val="26"/>
          <w:highlight w:val="none"/>
        </w:rPr>
      </w:pPr>
      <w:r>
        <w:rPr>
          <w:color w:val="000000" w:themeColor="text1"/>
          <w:sz w:val="26"/>
          <w:szCs w:val="26"/>
          <w:highlight w:val="none"/>
        </w:rPr>
        <w:t xml:space="preserve">3. </w:t>
      </w:r>
      <w:r>
        <w:rPr>
          <w:color w:val="000000" w:themeColor="text1"/>
          <w:sz w:val="26"/>
          <w:szCs w:val="26"/>
          <w:highlight w:val="none"/>
        </w:rPr>
        <w:t xml:space="preserve">ОТЧЕТ п</w:t>
      </w:r>
      <w:r>
        <w:rPr>
          <w:bCs/>
          <w:color w:val="000000" w:themeColor="text1"/>
          <w:sz w:val="26"/>
          <w:szCs w:val="26"/>
          <w:highlight w:val="none"/>
        </w:rPr>
        <w:t xml:space="preserve">о результатам экспертно-аналитического мероприятия</w:t>
      </w:r>
      <w:r>
        <w:rPr>
          <w:bCs/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sz w:val="26"/>
          <w:szCs w:val="26"/>
          <w:highlight w:val="none"/>
        </w:rPr>
        <w:t xml:space="preserve">«</w:t>
      </w:r>
      <w:r>
        <w:rPr>
          <w:sz w:val="26"/>
          <w:szCs w:val="26"/>
          <w:highlight w:val="none"/>
        </w:rPr>
        <w:t xml:space="preserve">Анализ реализации национальных проектов в Чукотском автономном округе за 2025 год</w:t>
      </w:r>
      <w:r>
        <w:rPr>
          <w:sz w:val="26"/>
          <w:szCs w:val="26"/>
          <w:highlight w:val="none"/>
        </w:rPr>
        <w:t xml:space="preserve">»</w:t>
      </w:r>
      <w:r>
        <w:rPr>
          <w:sz w:val="26"/>
          <w:szCs w:val="26"/>
          <w:highlight w:val="none"/>
        </w:rPr>
        <w:t xml:space="preserve">……………………..</w:t>
      </w:r>
      <w:r>
        <w:rPr>
          <w:color w:val="000000" w:themeColor="text1"/>
          <w:sz w:val="26"/>
          <w:szCs w:val="26"/>
          <w:highlight w:val="none"/>
        </w:rPr>
        <w:t xml:space="preserve">..</w:t>
      </w:r>
      <w:r>
        <w:rPr>
          <w:color w:val="000000" w:themeColor="text1"/>
          <w:sz w:val="26"/>
          <w:szCs w:val="26"/>
          <w:highlight w:val="none"/>
        </w:rPr>
        <w:t xml:space="preserve">…………</w:t>
      </w:r>
      <w:r>
        <w:rPr>
          <w:color w:val="000000" w:themeColor="text1"/>
          <w:sz w:val="26"/>
          <w:szCs w:val="26"/>
          <w:highlight w:val="none"/>
        </w:rPr>
        <w:t xml:space="preserve">.</w:t>
      </w:r>
      <w:r>
        <w:rPr>
          <w:color w:val="000000" w:themeColor="text1"/>
          <w:sz w:val="26"/>
          <w:szCs w:val="26"/>
          <w:highlight w:val="none"/>
        </w:rPr>
        <w:t xml:space="preserve">.......................................................................................30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4. З</w:t>
      </w:r>
      <w:r>
        <w:rPr>
          <w:color w:val="000000" w:themeColor="text1"/>
          <w:sz w:val="26"/>
          <w:szCs w:val="26"/>
          <w:highlight w:val="none"/>
        </w:rPr>
        <w:t xml:space="preserve">АКЛЮ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ЧЕНИЕ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п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о результатам </w:t>
      </w:r>
      <w:r>
        <w:rPr>
          <w:bCs/>
          <w:color w:val="000000" w:themeColor="text1"/>
          <w:sz w:val="26"/>
          <w:szCs w:val="26"/>
          <w:highlight w:val="none"/>
        </w:rPr>
        <w:t xml:space="preserve">экспертно-аналитического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color w:val="000000" w:themeColor="text1"/>
          <w:sz w:val="26"/>
          <w:szCs w:val="26"/>
          <w:highlight w:val="none"/>
        </w:rPr>
        <w:t xml:space="preserve">мероприятия</w:t>
      </w:r>
      <w:r>
        <w:rPr>
          <w:bCs/>
          <w:color w:val="000000" w:themeColor="text1"/>
          <w:sz w:val="26"/>
          <w:szCs w:val="26"/>
          <w:highlight w:val="none"/>
        </w:rPr>
        <w:t xml:space="preserve"> </w:t>
      </w:r>
      <w:r>
        <w:rPr>
          <w:b w:val="0"/>
          <w:bCs w:val="0"/>
          <w:sz w:val="26"/>
          <w:szCs w:val="26"/>
          <w:highlight w:val="none"/>
        </w:rPr>
        <w:t xml:space="preserve">«</w:t>
      </w:r>
      <w:r>
        <w:rPr>
          <w:rFonts w:ascii="Times New Roman" w:hAnsi="Times New Roman"/>
          <w:b w:val="0"/>
          <w:bCs w:val="0"/>
          <w:sz w:val="26"/>
          <w:szCs w:val="26"/>
          <w:highlight w:val="none"/>
        </w:rPr>
        <w:t xml:space="preserve">Внешняя проверка годового отчета об исполнении бюджета </w:t>
      </w:r>
      <w:r>
        <w:rPr>
          <w:rFonts w:ascii="Times New Roman" w:hAnsi="Times New Roman"/>
          <w:b w:val="0"/>
          <w:bCs w:val="0"/>
          <w:sz w:val="26"/>
          <w:szCs w:val="26"/>
          <w:highlight w:val="none"/>
        </w:rPr>
        <w:t xml:space="preserve">Чукотского территориального фонда обязательного </w:t>
      </w:r>
      <w:r>
        <w:rPr>
          <w:rFonts w:ascii="Times New Roman" w:hAnsi="Times New Roman"/>
          <w:b w:val="0"/>
          <w:bCs w:val="0"/>
          <w:sz w:val="26"/>
          <w:szCs w:val="26"/>
          <w:highlight w:val="none"/>
        </w:rPr>
        <w:t xml:space="preserve">медицинского страхования за 202</w:t>
      </w:r>
      <w:r>
        <w:rPr>
          <w:rFonts w:ascii="Times New Roman" w:hAnsi="Times New Roman"/>
          <w:b w:val="0"/>
          <w:bCs w:val="0"/>
          <w:sz w:val="26"/>
          <w:szCs w:val="26"/>
          <w:highlight w:val="none"/>
        </w:rPr>
        <w:t xml:space="preserve">5</w:t>
      </w:r>
      <w:r>
        <w:rPr>
          <w:rFonts w:ascii="Times New Roman" w:hAnsi="Times New Roman"/>
          <w:b w:val="0"/>
          <w:bCs w:val="0"/>
          <w:sz w:val="26"/>
          <w:szCs w:val="26"/>
          <w:highlight w:val="none"/>
        </w:rPr>
        <w:t xml:space="preserve"> год</w:t>
      </w:r>
      <w:r>
        <w:rPr>
          <w:b w:val="0"/>
          <w:bCs w:val="0"/>
          <w:sz w:val="26"/>
          <w:szCs w:val="26"/>
          <w:highlight w:val="none"/>
        </w:rPr>
        <w:t xml:space="preserve">»</w:t>
      </w:r>
      <w:r>
        <w:rPr>
          <w:b w:val="0"/>
          <w:bCs w:val="0"/>
          <w:sz w:val="26"/>
          <w:szCs w:val="26"/>
          <w:highlight w:val="none"/>
        </w:rPr>
        <w:t xml:space="preserve">……</w:t>
      </w:r>
      <w:r>
        <w:rPr>
          <w:b w:val="0"/>
          <w:bCs w:val="0"/>
          <w:sz w:val="26"/>
          <w:szCs w:val="26"/>
        </w:rPr>
        <w:t xml:space="preserve">……….…..</w:t>
      </w:r>
      <w:r>
        <w:rPr>
          <w:b w:val="0"/>
          <w:bCs w:val="0"/>
          <w:color w:val="000000" w:themeColor="text1"/>
          <w:sz w:val="26"/>
          <w:szCs w:val="26"/>
        </w:rPr>
        <w:t xml:space="preserve">..</w:t>
      </w:r>
      <w:r>
        <w:rPr>
          <w:b w:val="0"/>
          <w:bCs w:val="0"/>
          <w:color w:val="000000" w:themeColor="text1"/>
          <w:sz w:val="26"/>
          <w:szCs w:val="26"/>
        </w:rPr>
        <w:t xml:space="preserve">…………</w:t>
      </w:r>
      <w:r>
        <w:rPr>
          <w:b w:val="0"/>
          <w:bCs w:val="0"/>
          <w:color w:val="000000" w:themeColor="text1"/>
          <w:sz w:val="26"/>
          <w:szCs w:val="26"/>
        </w:rPr>
        <w:t xml:space="preserve">.</w:t>
      </w:r>
      <w:r>
        <w:rPr>
          <w:b w:val="0"/>
          <w:bCs w:val="0"/>
          <w:color w:val="000000" w:themeColor="text1"/>
          <w:sz w:val="26"/>
          <w:szCs w:val="26"/>
        </w:rPr>
        <w:t xml:space="preserve">.............................................................................................</w:t>
      </w:r>
      <w:r>
        <w:rPr>
          <w:b w:val="0"/>
          <w:bCs w:val="0"/>
          <w:color w:val="000000" w:themeColor="text1"/>
          <w:sz w:val="26"/>
          <w:szCs w:val="26"/>
        </w:rPr>
        <w:t xml:space="preserve">.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60</w:t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jc w:val="both"/>
        <w:spacing w:before="0" w:beforeAutospacing="0" w:after="0" w:afterAutospacing="0" w:line="240" w:lineRule="auto"/>
        <w:rPr>
          <w:sz w:val="26"/>
          <w:szCs w:val="26"/>
        </w:rPr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</w:rPr>
        <w:t xml:space="preserve">5. </w:t>
      </w:r>
      <w:r>
        <w:rPr>
          <w:color w:val="000000" w:themeColor="text1"/>
          <w:sz w:val="26"/>
          <w:szCs w:val="26"/>
        </w:rPr>
        <w:t xml:space="preserve">З</w:t>
      </w:r>
      <w:r>
        <w:rPr>
          <w:color w:val="000000" w:themeColor="text1"/>
          <w:sz w:val="26"/>
          <w:szCs w:val="26"/>
          <w:highlight w:val="none"/>
        </w:rPr>
        <w:t xml:space="preserve">АКЛЮ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ЧЕНИЕ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п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о результатам </w:t>
      </w:r>
      <w:r>
        <w:rPr>
          <w:bCs/>
          <w:color w:val="000000" w:themeColor="text1"/>
          <w:sz w:val="26"/>
          <w:szCs w:val="26"/>
          <w:highlight w:val="none"/>
        </w:rPr>
        <w:t xml:space="preserve">экспертно-аналитического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color w:val="000000" w:themeColor="text1"/>
          <w:sz w:val="26"/>
          <w:szCs w:val="26"/>
          <w:highlight w:val="none"/>
        </w:rPr>
        <w:t xml:space="preserve">мероприятия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«</w:t>
      </w:r>
      <w:r>
        <w:rPr>
          <w:sz w:val="26"/>
          <w:szCs w:val="26"/>
        </w:rPr>
        <w:t xml:space="preserve">Экспертиза проекта закона Чукотского автономного округа </w:t>
      </w:r>
      <w:r>
        <w:rPr>
          <w:sz w:val="26"/>
          <w:szCs w:val="26"/>
        </w:rPr>
        <w:t xml:space="preserve">«Об исполнении бюджета  Чукотского территориального фонда обязательного медицинского страхования  за 2025 год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……………………………....</w:t>
      </w:r>
      <w:r>
        <w:rPr>
          <w:color w:val="000000" w:themeColor="text1"/>
          <w:sz w:val="26"/>
          <w:szCs w:val="26"/>
        </w:rPr>
        <w:t xml:space="preserve">……</w:t>
      </w:r>
      <w:r>
        <w:rPr>
          <w:color w:val="000000" w:themeColor="text1"/>
          <w:sz w:val="26"/>
          <w:szCs w:val="26"/>
        </w:rPr>
        <w:t xml:space="preserve">....................................................................................</w:t>
      </w:r>
      <w:r>
        <w:rPr>
          <w:sz w:val="26"/>
          <w:szCs w:val="26"/>
        </w:rPr>
        <w:t xml:space="preserve">74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before="0" w:beforeAutospacing="0" w:after="0" w:afterAutospacing="0" w:line="240" w:lineRule="auto"/>
        <w:rPr>
          <w:color w:val="000000" w:themeColor="text1"/>
          <w:sz w:val="26"/>
          <w:szCs w:val="26"/>
          <w:highlight w:val="none"/>
        </w:rPr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</w:rPr>
        <w:t xml:space="preserve">6. </w:t>
      </w:r>
      <w:r>
        <w:rPr>
          <w:color w:val="000000" w:themeColor="text1"/>
          <w:sz w:val="26"/>
          <w:szCs w:val="26"/>
        </w:rPr>
        <w:t xml:space="preserve">З</w:t>
      </w:r>
      <w:r>
        <w:rPr>
          <w:color w:val="000000" w:themeColor="text1"/>
          <w:sz w:val="26"/>
          <w:szCs w:val="26"/>
          <w:highlight w:val="none"/>
        </w:rPr>
        <w:t xml:space="preserve">АКЛЮ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ЧЕНИЕ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п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о результатам </w:t>
      </w:r>
      <w:r>
        <w:rPr>
          <w:bCs/>
          <w:color w:val="000000" w:themeColor="text1"/>
          <w:sz w:val="26"/>
          <w:szCs w:val="26"/>
          <w:highlight w:val="none"/>
        </w:rPr>
        <w:t xml:space="preserve">экспертно-аналитического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color w:val="000000" w:themeColor="text1"/>
          <w:sz w:val="26"/>
          <w:szCs w:val="26"/>
          <w:highlight w:val="none"/>
        </w:rPr>
        <w:t xml:space="preserve">мероприятия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«</w:t>
      </w:r>
      <w:r>
        <w:rPr>
          <w:bCs/>
          <w:sz w:val="26"/>
          <w:szCs w:val="26"/>
        </w:rPr>
        <w:t xml:space="preserve">Оперативный контроль исполнения Закона о бюджете Чукотского территориального фонда обязательного медицинского страхования на текущий финансовый год» за I квартал 2026 года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……………….</w:t>
      </w:r>
      <w:r>
        <w:rPr>
          <w:color w:val="000000" w:themeColor="text1"/>
          <w:sz w:val="26"/>
          <w:szCs w:val="26"/>
        </w:rPr>
        <w:t xml:space="preserve">..................................................................................................................78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color w:val="000000" w:themeColor="text1"/>
          <w:sz w:val="26"/>
          <w:szCs w:val="26"/>
          <w:highlight w:val="none"/>
        </w:rPr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</w:rPr>
        <w:t xml:space="preserve">7. </w:t>
      </w:r>
      <w:r>
        <w:rPr>
          <w:color w:val="000000" w:themeColor="text1"/>
          <w:sz w:val="26"/>
          <w:szCs w:val="26"/>
        </w:rPr>
        <w:t xml:space="preserve">З</w:t>
      </w:r>
      <w:r>
        <w:rPr>
          <w:color w:val="000000" w:themeColor="text1"/>
          <w:sz w:val="26"/>
          <w:szCs w:val="26"/>
          <w:highlight w:val="none"/>
        </w:rPr>
        <w:t xml:space="preserve">АКЛЮ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ЧЕНИЕ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п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о результатам </w:t>
      </w:r>
      <w:r>
        <w:rPr>
          <w:bCs/>
          <w:color w:val="000000" w:themeColor="text1"/>
          <w:sz w:val="26"/>
          <w:szCs w:val="26"/>
          <w:highlight w:val="none"/>
        </w:rPr>
        <w:t xml:space="preserve">экспертно-аналитического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color w:val="000000" w:themeColor="text1"/>
          <w:sz w:val="26"/>
          <w:szCs w:val="26"/>
          <w:highlight w:val="none"/>
        </w:rPr>
        <w:t xml:space="preserve">мероприятия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«</w:t>
      </w:r>
      <w:r>
        <w:rPr>
          <w:sz w:val="26"/>
          <w:szCs w:val="26"/>
        </w:rPr>
        <w:t xml:space="preserve">Внешняя проверка годового отчета об исполнении окружного бюджета за 2025 год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…….….............................................................................................................</w:t>
      </w:r>
      <w:r>
        <w:rPr>
          <w:color w:val="000000" w:themeColor="text1"/>
          <w:sz w:val="26"/>
          <w:szCs w:val="26"/>
        </w:rPr>
        <w:t xml:space="preserve">..</w:t>
      </w:r>
      <w:r>
        <w:rPr>
          <w:color w:val="000000" w:themeColor="text1"/>
          <w:sz w:val="26"/>
          <w:szCs w:val="26"/>
        </w:rPr>
        <w:t xml:space="preserve">…....……</w:t>
      </w:r>
      <w:r>
        <w:rPr>
          <w:color w:val="000000" w:themeColor="text1"/>
          <w:sz w:val="26"/>
          <w:szCs w:val="26"/>
          <w:highlight w:val="none"/>
        </w:rPr>
        <w:t xml:space="preserve">85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color w:val="000000" w:themeColor="text1"/>
          <w:sz w:val="26"/>
          <w:szCs w:val="26"/>
          <w:highlight w:val="none"/>
        </w:rPr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</w:rPr>
        <w:t xml:space="preserve">8. </w:t>
      </w:r>
      <w:r>
        <w:rPr>
          <w:color w:val="000000" w:themeColor="text1"/>
          <w:sz w:val="26"/>
          <w:szCs w:val="26"/>
        </w:rPr>
        <w:t xml:space="preserve">З</w:t>
      </w:r>
      <w:r>
        <w:rPr>
          <w:color w:val="000000" w:themeColor="text1"/>
          <w:sz w:val="26"/>
          <w:szCs w:val="26"/>
          <w:highlight w:val="none"/>
        </w:rPr>
        <w:t xml:space="preserve">АКЛЮ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ЧЕНИЕ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п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о результатам </w:t>
      </w:r>
      <w:r>
        <w:rPr>
          <w:bCs/>
          <w:color w:val="000000" w:themeColor="text1"/>
          <w:sz w:val="26"/>
          <w:szCs w:val="26"/>
          <w:highlight w:val="none"/>
        </w:rPr>
        <w:t xml:space="preserve">экспертно-аналитического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color w:val="000000" w:themeColor="text1"/>
          <w:sz w:val="26"/>
          <w:szCs w:val="26"/>
          <w:highlight w:val="none"/>
        </w:rPr>
        <w:t xml:space="preserve">мероприятия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«</w:t>
      </w:r>
      <w:r>
        <w:rPr>
          <w:sz w:val="26"/>
          <w:szCs w:val="26"/>
        </w:rPr>
        <w:t xml:space="preserve">Экспертиза проекта закона Чукотского автономного округа «Об исполнении окружного бюджета </w:t>
      </w:r>
      <w:r>
        <w:rPr>
          <w:sz w:val="26"/>
          <w:szCs w:val="26"/>
        </w:rPr>
        <w:t xml:space="preserve">за 2025 год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………………….…..</w:t>
      </w:r>
      <w:r>
        <w:rPr>
          <w:color w:val="000000" w:themeColor="text1"/>
          <w:sz w:val="26"/>
          <w:szCs w:val="26"/>
        </w:rPr>
        <w:t xml:space="preserve">..</w:t>
      </w:r>
      <w:r>
        <w:rPr>
          <w:color w:val="000000" w:themeColor="text1"/>
          <w:sz w:val="26"/>
          <w:szCs w:val="26"/>
        </w:rPr>
        <w:t xml:space="preserve">…………</w:t>
      </w:r>
      <w:r>
        <w:rPr>
          <w:color w:val="000000" w:themeColor="text1"/>
          <w:sz w:val="26"/>
          <w:szCs w:val="26"/>
        </w:rPr>
        <w:t xml:space="preserve">.....................................................................................147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sz w:val="26"/>
          <w:szCs w:val="26"/>
        </w:rPr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</w:rPr>
        <w:t xml:space="preserve">9. </w:t>
      </w:r>
      <w:r>
        <w:rPr>
          <w:color w:val="000000" w:themeColor="text1"/>
          <w:sz w:val="26"/>
          <w:szCs w:val="26"/>
        </w:rPr>
        <w:t xml:space="preserve">ОТЧЕТ </w:t>
      </w:r>
      <w:r>
        <w:rPr>
          <w:bCs/>
          <w:color w:val="000000" w:themeColor="text1"/>
          <w:sz w:val="26"/>
          <w:szCs w:val="26"/>
        </w:rPr>
        <w:t xml:space="preserve">о результатах контрольного мероприятия </w:t>
      </w:r>
      <w:r>
        <w:rPr>
          <w:bCs/>
          <w:sz w:val="26"/>
          <w:szCs w:val="26"/>
        </w:rPr>
        <w:t xml:space="preserve">«</w:t>
      </w:r>
      <w:r>
        <w:rPr>
          <w:bCs/>
          <w:sz w:val="26"/>
          <w:szCs w:val="26"/>
        </w:rPr>
        <w:t xml:space="preserve">Внешняя проверка бюджетной отчетности главных администраторов средств окружного бюджета за 2025 год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………………….…..</w:t>
      </w:r>
      <w:r>
        <w:rPr>
          <w:color w:val="000000" w:themeColor="text1"/>
          <w:sz w:val="26"/>
          <w:szCs w:val="26"/>
        </w:rPr>
        <w:t xml:space="preserve">..</w:t>
      </w:r>
      <w:r>
        <w:rPr>
          <w:color w:val="000000" w:themeColor="text1"/>
          <w:sz w:val="26"/>
          <w:szCs w:val="26"/>
        </w:rPr>
        <w:t xml:space="preserve">…………</w:t>
      </w:r>
      <w:r>
        <w:rPr>
          <w:color w:val="000000" w:themeColor="text1"/>
          <w:sz w:val="26"/>
          <w:szCs w:val="26"/>
        </w:rPr>
        <w:t xml:space="preserve">.....................................................................................150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before="0" w:beforeAutospacing="0" w:after="0" w:afterAutospacing="0" w:line="240" w:lineRule="auto"/>
        <w:rPr>
          <w:sz w:val="26"/>
          <w:szCs w:val="26"/>
          <w:highlight w:val="none"/>
        </w:rPr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</w:rPr>
        <w:t xml:space="preserve">10. </w:t>
      </w:r>
      <w:r>
        <w:rPr>
          <w:color w:val="000000" w:themeColor="text1"/>
          <w:sz w:val="26"/>
          <w:szCs w:val="26"/>
        </w:rPr>
        <w:t xml:space="preserve">З</w:t>
      </w:r>
      <w:r>
        <w:rPr>
          <w:color w:val="000000" w:themeColor="text1"/>
          <w:sz w:val="26"/>
          <w:szCs w:val="26"/>
          <w:highlight w:val="none"/>
        </w:rPr>
        <w:t xml:space="preserve">АКЛЮ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ЧЕНИЕ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п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о результатам </w:t>
      </w:r>
      <w:r>
        <w:rPr>
          <w:bCs/>
          <w:color w:val="000000" w:themeColor="text1"/>
          <w:sz w:val="26"/>
          <w:szCs w:val="26"/>
          <w:highlight w:val="none"/>
        </w:rPr>
        <w:t xml:space="preserve">экспертно-аналитического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color w:val="000000" w:themeColor="text1"/>
          <w:sz w:val="26"/>
          <w:szCs w:val="26"/>
          <w:highlight w:val="none"/>
        </w:rPr>
        <w:t xml:space="preserve">мероприятия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«</w:t>
      </w:r>
      <w:r>
        <w:rPr>
          <w:bCs/>
          <w:sz w:val="26"/>
          <w:szCs w:val="26"/>
        </w:rPr>
        <w:t xml:space="preserve">Оперативный контроль исполнения Закона Чукотского автономного округа «О</w:t>
      </w:r>
      <w:r>
        <w:rPr>
          <w:bCs/>
          <w:sz w:val="26"/>
          <w:szCs w:val="26"/>
        </w:rPr>
        <w:t xml:space="preserve">б окружном бюджете на 2026 год и плановый период 2027 и 2028 года» за I квартал 2026 года</w:t>
      </w:r>
      <w:r>
        <w:rPr>
          <w:sz w:val="26"/>
          <w:szCs w:val="26"/>
        </w:rPr>
        <w:t xml:space="preserve">…....</w:t>
      </w:r>
      <w:r>
        <w:rPr>
          <w:color w:val="000000" w:themeColor="text1"/>
          <w:sz w:val="26"/>
          <w:szCs w:val="26"/>
        </w:rPr>
        <w:t xml:space="preserve">...................................................................................................................................163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color w:val="000000" w:themeColor="text1"/>
          <w:sz w:val="26"/>
          <w:szCs w:val="26"/>
          <w:highlight w:val="none"/>
        </w:rPr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</w:rPr>
        <w:t xml:space="preserve">11. </w:t>
      </w:r>
      <w:r>
        <w:rPr>
          <w:color w:val="000000" w:themeColor="text1"/>
          <w:sz w:val="26"/>
          <w:szCs w:val="26"/>
        </w:rPr>
        <w:t xml:space="preserve">З</w:t>
      </w:r>
      <w:r>
        <w:rPr>
          <w:color w:val="000000" w:themeColor="text1"/>
          <w:sz w:val="26"/>
          <w:szCs w:val="26"/>
          <w:highlight w:val="none"/>
        </w:rPr>
        <w:t xml:space="preserve">АКЛЮ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ЧЕНИЕ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п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о результатам </w:t>
      </w:r>
      <w:r>
        <w:rPr>
          <w:bCs/>
          <w:color w:val="000000" w:themeColor="text1"/>
          <w:sz w:val="26"/>
          <w:szCs w:val="26"/>
          <w:highlight w:val="none"/>
        </w:rPr>
        <w:t xml:space="preserve">экспертно-аналитического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bCs/>
          <w:color w:val="000000" w:themeColor="text1"/>
          <w:sz w:val="26"/>
          <w:szCs w:val="26"/>
          <w:highlight w:val="none"/>
        </w:rPr>
        <w:t xml:space="preserve">мероприятия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«</w:t>
      </w:r>
      <w:r>
        <w:rPr>
          <w:bCs/>
          <w:sz w:val="26"/>
          <w:szCs w:val="26"/>
        </w:rPr>
        <w:t xml:space="preserve">Мониторинг реализации на территории Чукотского автономного округа региональных проектов в рамках национальных проектов по состоянию на 1 мая 2026 года 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……….…..</w:t>
      </w:r>
      <w:r>
        <w:rPr>
          <w:color w:val="000000" w:themeColor="text1"/>
          <w:sz w:val="26"/>
          <w:szCs w:val="26"/>
        </w:rPr>
        <w:t xml:space="preserve">..</w:t>
      </w:r>
      <w:r>
        <w:rPr>
          <w:color w:val="000000" w:themeColor="text1"/>
          <w:sz w:val="26"/>
          <w:szCs w:val="26"/>
        </w:rPr>
        <w:t xml:space="preserve">…………</w:t>
      </w:r>
      <w:r>
        <w:rPr>
          <w:color w:val="000000" w:themeColor="text1"/>
          <w:sz w:val="26"/>
          <w:szCs w:val="26"/>
        </w:rPr>
        <w:t xml:space="preserve">...........................................................................................................</w:t>
      </w:r>
      <w:r>
        <w:rPr>
          <w:color w:val="000000" w:themeColor="text1"/>
          <w:sz w:val="26"/>
          <w:szCs w:val="26"/>
        </w:rPr>
        <w:t xml:space="preserve">184</w:t>
      </w:r>
      <w:r>
        <w:rPr>
          <w:color w:val="000000" w:themeColor="text1"/>
          <w:sz w:val="26"/>
          <w:szCs w:val="26"/>
          <w:highlight w:val="none"/>
        </w:rPr>
      </w:r>
    </w:p>
    <w:p>
      <w:pPr>
        <w:jc w:val="center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Отчет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365"/>
        <w:jc w:val="center"/>
        <w:spacing w:before="0" w:beforeAutospacing="0" w:after="0" w:afterAutospacing="0" w:line="240" w:lineRule="auto"/>
        <w:tabs>
          <w:tab w:val="left" w:pos="709" w:leader="none"/>
          <w:tab w:val="left" w:pos="8504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контрольного мероприятия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</w:rPr>
        <w:outlineLvl w:val="5"/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undefined"/>
      <w:r>
        <w:rPr>
          <w:rFonts w:ascii="Times New Roman" w:hAnsi="Times New Roman"/>
          <w:b/>
          <w:bCs/>
          <w:sz w:val="28"/>
          <w:szCs w:val="28"/>
        </w:rPr>
        <w:t xml:space="preserve">«Проверка реализации мероприятий по развитию жилищного строительства в селе Сиреники в рамках Государственной программы «Развитие жилищного строительства в Чукотском автономном округе» в</w:t>
      </w:r>
      <w:r>
        <w:t xml:space="preserve"> </w:t>
      </w:r>
      <w:r>
        <w:rPr>
          <w:rFonts w:ascii="Times New Roman" w:hAnsi="Times New Roman"/>
          <w:b/>
          <w:bCs/>
          <w:sz w:val="28"/>
          <w:szCs w:val="28"/>
        </w:rPr>
        <w:t xml:space="preserve">2025 году и истекшем периоде 2026 года»</w:t>
      </w:r>
      <w:bookmarkEnd w:id="0"/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(утвержден Коллегией Счетной палаты Чукотского автономного округа, </w:t>
      </w:r>
      <w:r>
        <w:rPr>
          <w:rFonts w:ascii="Times New Roman" w:hAnsi="Times New Roman"/>
        </w:rPr>
        <w:br/>
        <w:t xml:space="preserve">протокол</w:t>
      </w:r>
      <w:r>
        <w:rPr>
          <w:rFonts w:ascii="Times New Roman" w:hAnsi="Times New Roman"/>
          <w:highlight w:val="white"/>
        </w:rPr>
        <w:t xml:space="preserve"> от 28 апреля 2026 года № 6)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Основание для проведения контрольного мероприятия: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 1.12. Плана работы Счетной палаты Чукотского автоном</w:t>
      </w:r>
      <w:r>
        <w:rPr>
          <w:rFonts w:ascii="Times New Roman" w:hAnsi="Times New Roman"/>
          <w:sz w:val="28"/>
          <w:szCs w:val="28"/>
        </w:rPr>
        <w:t xml:space="preserve">ного округа на 2026 год, утвержденного решением Коллегии Счетной палаты Чукотского автономного округа от 26 декабря 2025 года, протокол № 31 (с изменениями от 13 февраля 2026 года, протокол № 2). 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Предмет контрольного мероприятия: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деятельность объектов ко</w:t>
      </w:r>
      <w:r>
        <w:rPr>
          <w:rFonts w:ascii="Times New Roman" w:hAnsi="Times New Roman"/>
          <w:sz w:val="28"/>
          <w:szCs w:val="28"/>
        </w:rPr>
        <w:t xml:space="preserve">нтрольного мероприятия при реализации мероприятий по развитию жилищного строительства в с. Сиреники в рамках Государственной программы «Развитие жилищного строительства в Чукотском автономном округе».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 контрольного мероприятия: 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Установить соответствие</w:t>
      </w:r>
      <w:r>
        <w:rPr>
          <w:rFonts w:ascii="Times New Roman" w:hAnsi="Times New Roman"/>
          <w:sz w:val="28"/>
          <w:szCs w:val="28"/>
        </w:rPr>
        <w:t xml:space="preserve"> деятельности объектов контроля действующе</w:t>
      </w:r>
      <w:r>
        <w:rPr>
          <w:rFonts w:ascii="Times New Roman" w:hAnsi="Times New Roman"/>
          <w:sz w:val="28"/>
          <w:szCs w:val="28"/>
        </w:rPr>
        <w:t xml:space="preserve">му законодательству Российской Федерации при реализации мероприятий по развитию жилищного строительства в с. Сиреники.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Вопро</w:t>
      </w:r>
      <w:r>
        <w:rPr>
          <w:rFonts w:ascii="Times New Roman" w:hAnsi="Times New Roman"/>
          <w:b/>
          <w:bCs/>
          <w:sz w:val="28"/>
          <w:szCs w:val="28"/>
        </w:rPr>
        <w:t xml:space="preserve">сы</w:t>
      </w:r>
      <w:r>
        <w:rPr>
          <w:rFonts w:ascii="Times New Roman" w:hAnsi="Times New Roman"/>
          <w:b/>
          <w:bCs/>
          <w:sz w:val="28"/>
          <w:szCs w:val="28"/>
        </w:rPr>
        <w:t xml:space="preserve"> контрольного мероприятия: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1. Оценка</w:t>
      </w:r>
      <w:r>
        <w:rPr>
          <w:rFonts w:ascii="Times New Roman" w:hAnsi="Times New Roman"/>
          <w:sz w:val="28"/>
          <w:szCs w:val="28"/>
        </w:rPr>
        <w:t xml:space="preserve"> деятельности Департамента строительства и жилищно-коммунального хозяйства Чукотского автономного округа при</w:t>
      </w:r>
      <w:r>
        <w:rPr>
          <w:rFonts w:ascii="Times New Roman" w:hAnsi="Times New Roman"/>
          <w:sz w:val="28"/>
          <w:szCs w:val="28"/>
        </w:rPr>
        <w:t xml:space="preserve"> предоставлении субсидии бюджету Провиденского муниципального округа на обеспечение </w:t>
      </w:r>
      <w:r>
        <w:rPr>
          <w:rFonts w:ascii="Times New Roman" w:hAnsi="Times New Roman"/>
          <w:sz w:val="28"/>
          <w:szCs w:val="28"/>
        </w:rPr>
        <w:t xml:space="preserve">мероприятий по развитию жилищного строительства в селе Сиреники.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ab/>
        <w:t xml:space="preserve">2. </w:t>
      </w:r>
      <w:r>
        <w:rPr>
          <w:rFonts w:ascii="Times New Roman" w:hAnsi="Times New Roman"/>
          <w:sz w:val="28"/>
          <w:szCs w:val="28"/>
          <w:lang w:eastAsia="ru-RU"/>
        </w:rPr>
        <w:t xml:space="preserve">Оценка деятельности Администрации Провиденского муниципального округа при реализации мероприятий по развитию жилищного строительства в селе Сиреники</w:t>
      </w:r>
      <w:r>
        <w:rPr>
          <w:rFonts w:ascii="Times New Roman" w:hAnsi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Объекты </w:t>
      </w:r>
      <w:r>
        <w:rPr>
          <w:rFonts w:ascii="Times New Roman" w:hAnsi="Times New Roman"/>
          <w:b/>
          <w:bCs/>
          <w:sz w:val="28"/>
          <w:szCs w:val="28"/>
        </w:rPr>
        <w:t xml:space="preserve">контрольного мероприятия: 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ab/>
        <w:t xml:space="preserve">- Департамент строительства и жилищно-коммунального хозяйства Чу</w:t>
      </w:r>
      <w:r>
        <w:rPr>
          <w:rFonts w:ascii="Times New Roman" w:hAnsi="Times New Roman"/>
          <w:sz w:val="28"/>
          <w:szCs w:val="28"/>
        </w:rPr>
        <w:t xml:space="preserve">котского автономного округа (далее – Департамент строительства, Департамент);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ab/>
        <w:t xml:space="preserve">- Администрация Провиденского муниципального округа (далее – Администрация Провиденского МО, Администрация).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Проверяемый период деятельности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2025 год и истекший период 2026 год</w:t>
      </w:r>
      <w:r>
        <w:rPr>
          <w:rFonts w:ascii="Times New Roman" w:hAnsi="Times New Roman"/>
          <w:sz w:val="28"/>
          <w:szCs w:val="28"/>
        </w:rPr>
        <w:t xml:space="preserve">а.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Сроки проведения контрольного мероприятия: </w:t>
      </w:r>
      <w:r>
        <w:rPr>
          <w:rFonts w:ascii="Times New Roman" w:hAnsi="Times New Roman"/>
          <w:sz w:val="28"/>
          <w:szCs w:val="28"/>
        </w:rPr>
        <w:t xml:space="preserve">с 5 марта 2026 года по 7 апреля 2026 года.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Краткая характеристика проверяемой сферы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</w:p>
    <w:p>
      <w:pPr>
        <w:jc w:val="both"/>
        <w:spacing w:before="0" w:beforeAutospacing="0" w:after="0" w:afterAutospacing="0" w:line="240" w:lineRule="auto"/>
        <w:tabs>
          <w:tab w:val="left" w:pos="709" w:leader="none"/>
          <w:tab w:val="left" w:pos="709" w:leader="none"/>
        </w:tabs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highlight w:val="white"/>
        </w:rPr>
        <w:t xml:space="preserve">В целях создания безопасных и благоприятных условий проживания гражд</w:t>
      </w:r>
      <w:r>
        <w:rPr>
          <w:rFonts w:ascii="Times New Roman" w:hAnsi="Times New Roman"/>
          <w:sz w:val="28"/>
          <w:szCs w:val="28"/>
          <w:highlight w:val="white"/>
        </w:rPr>
        <w:t xml:space="preserve">ан, реализации государственной политики в области жилищного строительства, повышения уровня обеспеченности населения жильем, роста доли общей площади благоустроенных жилых помещений в сельских населенных пунктах</w:t>
      </w:r>
      <w:r>
        <w:rPr>
          <w:rFonts w:ascii="Times New Roman" w:hAnsi="Times New Roman" w:cs="Arial"/>
          <w:sz w:val="28"/>
          <w:szCs w:val="28"/>
          <w:highlight w:val="white"/>
        </w:rPr>
        <w:t xml:space="preserve"> в Чукотском автономном округе в </w:t>
      </w:r>
      <w:r>
        <w:rPr>
          <w:rFonts w:ascii="Times New Roman" w:hAnsi="Times New Roman"/>
          <w:sz w:val="28"/>
          <w:szCs w:val="28"/>
          <w:highlight w:val="white"/>
        </w:rPr>
        <w:t xml:space="preserve">структуре Го</w:t>
      </w:r>
      <w:r>
        <w:rPr>
          <w:rFonts w:ascii="Times New Roman" w:hAnsi="Times New Roman"/>
          <w:sz w:val="28"/>
          <w:szCs w:val="28"/>
          <w:highlight w:val="white"/>
        </w:rPr>
        <w:t xml:space="preserve">сударственной программы «Развитие жилищного строительства в Чукотском автономном округе»</w:t>
      </w:r>
      <w:r>
        <w:rPr>
          <w:rFonts w:ascii="Times New Roman" w:hAnsi="Times New Roman"/>
          <w:sz w:val="28"/>
          <w:szCs w:val="28"/>
          <w:highlight w:val="white"/>
          <w:vertAlign w:val="superscript"/>
        </w:rPr>
        <w:footnoteReference w:id="2"/>
      </w:r>
      <w:r>
        <w:rPr>
          <w:rFonts w:ascii="Times New Roman" w:hAnsi="Times New Roman"/>
          <w:sz w:val="28"/>
          <w:szCs w:val="28"/>
          <w:highlight w:val="white"/>
          <w:vertAlign w:val="superscript"/>
        </w:rPr>
        <w:t xml:space="preserve">,</w:t>
      </w:r>
      <w:r>
        <w:rPr>
          <w:rFonts w:ascii="Times New Roman" w:hAnsi="Times New Roman" w:eastAsia="Calibri"/>
          <w:bCs/>
          <w:sz w:val="28"/>
          <w:szCs w:val="28"/>
          <w:highlight w:val="white"/>
          <w:vertAlign w:val="superscript"/>
        </w:rPr>
        <w:footnoteReference w:id="3"/>
      </w:r>
      <w:r>
        <w:rPr>
          <w:rFonts w:ascii="Times New Roman" w:hAnsi="Times New Roman" w:eastAsia="Calibri"/>
          <w:bCs/>
          <w:sz w:val="28"/>
          <w:szCs w:val="28"/>
          <w:highlight w:val="white"/>
          <w:vertAlign w:val="superscript"/>
        </w:rPr>
        <w:t xml:space="preserve">  </w:t>
      </w:r>
      <w:r>
        <w:rPr>
          <w:rFonts w:ascii="Times New Roman" w:hAnsi="Times New Roman" w:cs="Arial"/>
          <w:sz w:val="28"/>
          <w:szCs w:val="28"/>
          <w:highlight w:val="white"/>
        </w:rPr>
        <w:t xml:space="preserve">предусмотрена реализация </w:t>
      </w:r>
      <w:r>
        <w:rPr>
          <w:rFonts w:ascii="Times New Roman" w:hAnsi="Times New Roman"/>
          <w:sz w:val="28"/>
          <w:szCs w:val="28"/>
          <w:highlight w:val="white"/>
        </w:rPr>
        <w:t xml:space="preserve">мероприятий по развитию жилищного строительства в рамках 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Регионального проекта «Жилье».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before="0" w:beforeAutospacing="0" w:after="0" w:afterAutospacing="0" w:line="240" w:lineRule="auto"/>
        <w:tabs>
          <w:tab w:val="left" w:pos="709" w:leader="none"/>
          <w:tab w:val="left" w:pos="709" w:leader="none"/>
        </w:tabs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ab/>
        <w:t xml:space="preserve">Для достижения установленных целей при реализации</w:t>
      </w:r>
      <w:r>
        <w:rPr>
          <w:rFonts w:ascii="Times New Roman" w:hAnsi="Times New Roman"/>
          <w:sz w:val="28"/>
          <w:szCs w:val="28"/>
          <w:highlight w:val="white"/>
        </w:rPr>
        <w:t xml:space="preserve"> мероприятий по развитию жилищного строительства решаются следующие задачи: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jc w:val="both"/>
        <w:spacing w:before="0" w:beforeAutospacing="0" w:after="0" w:afterAutospacing="0" w:line="240" w:lineRule="auto"/>
        <w:tabs>
          <w:tab w:val="left" w:pos="709" w:leader="none"/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 увеличение объемов жилищного строительства, в первую очередь стандартного жилья, в том числе индивидуального жилищного строительства;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tabs>
          <w:tab w:val="left" w:pos="709" w:leader="none"/>
          <w:tab w:val="left" w:pos="709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ab/>
        <w:t xml:space="preserve">- реализация гражданами права на безопасны</w:t>
      </w:r>
      <w:r>
        <w:rPr>
          <w:rFonts w:ascii="Times New Roman" w:hAnsi="Times New Roman"/>
          <w:sz w:val="28"/>
          <w:szCs w:val="28"/>
        </w:rPr>
        <w:t xml:space="preserve">е и благоприятные условия проживания и другие.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left" w:pos="709" w:leader="none"/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Ответственным исполнителем Государственной программы № 540 определен </w:t>
      </w:r>
      <w:r>
        <w:rPr>
          <w:rFonts w:ascii="Times New Roman" w:hAnsi="Times New Roman"/>
          <w:sz w:val="28"/>
          <w:szCs w:val="28"/>
        </w:rPr>
        <w:t xml:space="preserve">Департамент строительства.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реализации мероприятий по развитию жилищного строительства предусмо</w:t>
      </w:r>
      <w:r>
        <w:rPr>
          <w:rFonts w:ascii="Times New Roman" w:hAnsi="Times New Roman"/>
          <w:sz w:val="28"/>
          <w:szCs w:val="28"/>
        </w:rPr>
        <w:t xml:space="preserve">трено участие органов местного самоуправления Чукотского автономного округа.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  <w:t xml:space="preserve">Финансовое обеспечение мероприятий по развитию жилищного  строительства осуществлялось за счет средств окружного бюджета в виде предоставления субсидий бюджетам муниципальных обра</w:t>
      </w:r>
      <w:r>
        <w:rPr>
          <w:rFonts w:ascii="Times New Roman" w:hAnsi="Times New Roman" w:eastAsia="Calibri"/>
          <w:bCs/>
          <w:sz w:val="28"/>
          <w:szCs w:val="28"/>
        </w:rPr>
        <w:t xml:space="preserve">зований Чукотского автономного округа </w:t>
      </w:r>
      <w:r>
        <w:rPr>
          <w:rFonts w:ascii="Times New Roman" w:hAnsi="Times New Roman" w:eastAsia="Calibri"/>
          <w:sz w:val="28"/>
          <w:szCs w:val="24"/>
        </w:rPr>
        <w:t xml:space="preserve">на </w:t>
      </w:r>
      <w:r>
        <w:rPr>
          <w:rFonts w:ascii="Times New Roman" w:hAnsi="Times New Roman" w:eastAsia="Calibri"/>
          <w:sz w:val="28"/>
          <w:szCs w:val="28"/>
        </w:rPr>
        <w:t xml:space="preserve">обеспечение мероприятий по развитию жилищного строительства</w:t>
      </w:r>
      <w:r>
        <w:rPr>
          <w:rFonts w:ascii="Times New Roman" w:hAnsi="Times New Roman" w:eastAsia="Calibri"/>
          <w:bCs/>
          <w:sz w:val="28"/>
          <w:szCs w:val="28"/>
        </w:rPr>
        <w:t xml:space="preserve"> (далее – Субсидия на обеспечение мероприятий по развитию жилищного строительства, Субсидия).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  <w:tab/>
        <w:t xml:space="preserve">Общий объем бюджетных ассигнований, утвержденный Законом об о</w:t>
      </w:r>
      <w:r>
        <w:rPr>
          <w:rFonts w:ascii="Times New Roman" w:hAnsi="Times New Roman" w:eastAsia="Calibri"/>
          <w:bCs/>
          <w:sz w:val="28"/>
          <w:szCs w:val="28"/>
        </w:rPr>
        <w:t xml:space="preserve">кружном бюджете на 2025 год</w:t>
      </w:r>
      <w:r>
        <w:rPr>
          <w:rStyle w:val="4381"/>
          <w:rFonts w:ascii="Times New Roman" w:hAnsi="Times New Roman" w:eastAsia="Calibri"/>
          <w:bCs/>
          <w:sz w:val="28"/>
          <w:szCs w:val="28"/>
        </w:rPr>
        <w:footnoteReference w:id="4"/>
      </w:r>
      <w:r>
        <w:rPr>
          <w:rFonts w:ascii="Times New Roman" w:hAnsi="Times New Roman" w:eastAsia="Calibri"/>
          <w:bCs/>
          <w:sz w:val="28"/>
          <w:szCs w:val="28"/>
        </w:rPr>
        <w:t xml:space="preserve"> бюджету Провиденского МО на реализацию мероприятий по развитию жилищного строительства, с учетом изменений, внесенных </w:t>
      </w:r>
      <w:r>
        <w:rPr>
          <w:rStyle w:val="4381"/>
          <w:rFonts w:ascii="Times New Roman" w:hAnsi="Times New Roman"/>
          <w:sz w:val="28"/>
          <w:szCs w:val="28"/>
          <w:vertAlign w:val="baseline"/>
        </w:rPr>
        <w:t xml:space="preserve">Постановлением Правительства Чукотского автономного округа от 15 декабря 2025 года № 640 «Об утверждении изме</w:t>
      </w:r>
      <w:r>
        <w:rPr>
          <w:rStyle w:val="4381"/>
          <w:rFonts w:ascii="Times New Roman" w:hAnsi="Times New Roman"/>
          <w:sz w:val="28"/>
          <w:szCs w:val="28"/>
          <w:vertAlign w:val="baseline"/>
        </w:rPr>
        <w:t xml:space="preserve">нений в распределение субсидий бюджетам муниципальных образований Чукотского автономного округа на обеспечение мероприятий по развитию жилищного строительства на 2025 год и на плановый период 2026 и 2027 годов»</w:t>
      </w:r>
      <w:r>
        <w:rPr>
          <w:rStyle w:val="4381"/>
          <w:rFonts w:ascii="Times New Roman" w:hAnsi="Times New Roman"/>
          <w:sz w:val="28"/>
          <w:szCs w:val="28"/>
        </w:rPr>
        <w:footnoteReference w:id="5"/>
      </w:r>
      <w:r>
        <w:rPr>
          <w:rFonts w:ascii="Times New Roman" w:hAnsi="Times New Roman" w:eastAsia="Calibri"/>
          <w:bCs/>
          <w:sz w:val="28"/>
          <w:szCs w:val="28"/>
        </w:rPr>
        <w:t xml:space="preserve"> составил 517 001,7 тыс. рублей</w:t>
      </w:r>
      <w:r>
        <w:rPr>
          <w:rStyle w:val="4381"/>
          <w:rFonts w:ascii="Times New Roman" w:hAnsi="Times New Roman" w:eastAsia="Calibri"/>
          <w:bCs/>
          <w:sz w:val="28"/>
          <w:szCs w:val="28"/>
          <w:vertAlign w:val="baseline"/>
        </w:rPr>
        <w:t xml:space="preserve">,</w:t>
      </w:r>
      <w:r>
        <w:rPr>
          <w:rFonts w:ascii="Times New Roman" w:hAnsi="Times New Roman" w:eastAsia="Calibri"/>
          <w:bCs/>
          <w:sz w:val="28"/>
          <w:szCs w:val="28"/>
        </w:rPr>
        <w:t xml:space="preserve"> из них на ре</w:t>
      </w:r>
      <w:r>
        <w:rPr>
          <w:rFonts w:ascii="Times New Roman" w:hAnsi="Times New Roman" w:eastAsia="Calibri"/>
          <w:bCs/>
          <w:sz w:val="28"/>
          <w:szCs w:val="28"/>
        </w:rPr>
        <w:t xml:space="preserve">ализацию </w:t>
      </w:r>
      <w:r>
        <w:rPr>
          <w:rFonts w:ascii="Times New Roman" w:hAnsi="Times New Roman" w:eastAsia="Calibri"/>
          <w:bCs/>
          <w:sz w:val="28"/>
          <w:szCs w:val="28"/>
        </w:rPr>
        <w:t xml:space="preserve">мероприятий по развитию жилищного строительства в с. Сиреники – 238 718,5 тыс. рублей. 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Сведения об изменениях объемов средств Субсидии на обеспечение мероприятий по развитию жилищного строительства бюджету Провиденского муниципального округа</w:t>
      </w:r>
      <w:r>
        <w:rPr>
          <w:rStyle w:val="4381"/>
          <w:rFonts w:ascii="Times New Roman" w:hAnsi="Times New Roman" w:eastAsia="Calibri"/>
          <w:sz w:val="28"/>
          <w:szCs w:val="28"/>
        </w:rPr>
        <w:footnoteReference w:id="6"/>
      </w:r>
      <w:r>
        <w:rPr>
          <w:rFonts w:ascii="Times New Roman" w:hAnsi="Times New Roman" w:eastAsia="Calibri"/>
          <w:sz w:val="28"/>
          <w:szCs w:val="28"/>
        </w:rPr>
        <w:t xml:space="preserve"> (в</w:t>
      </w:r>
      <w:r>
        <w:rPr>
          <w:rFonts w:ascii="Times New Roman" w:hAnsi="Times New Roman" w:eastAsia="Calibri"/>
          <w:sz w:val="28"/>
          <w:szCs w:val="28"/>
        </w:rPr>
        <w:t xml:space="preserve"> том числе с.</w:t>
      </w:r>
      <w:r>
        <w:t xml:space="preserve"> </w:t>
      </w:r>
      <w:r>
        <w:rPr>
          <w:rFonts w:ascii="Times New Roman" w:hAnsi="Times New Roman" w:eastAsia="Calibri"/>
          <w:sz w:val="28"/>
          <w:szCs w:val="28"/>
        </w:rPr>
        <w:t xml:space="preserve">Сиреники) представлены в таблице № 1.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  <w:highlight w:val="none"/>
        </w:rPr>
      </w:pPr>
      <w:r>
        <w:rPr>
          <w:rFonts w:ascii="Times New Roman" w:hAnsi="Times New Roman" w:eastAsia="Calibri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  <w:highlight w:val="none"/>
        </w:rPr>
      </w:pPr>
      <w:r>
        <w:rPr>
          <w:rFonts w:ascii="Times New Roman" w:hAnsi="Times New Roman" w:eastAsia="Calibri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  <w:highlight w:val="none"/>
        </w:rPr>
      </w:pPr>
      <w:r>
        <w:rPr>
          <w:rFonts w:ascii="Times New Roman" w:hAnsi="Times New Roman" w:eastAsia="Calibri"/>
          <w:sz w:val="28"/>
          <w:szCs w:val="28"/>
        </w:rPr>
        <w:t xml:space="preserve">Таблица № 1</w:t>
      </w:r>
      <w:r>
        <w:rPr>
          <w:rFonts w:ascii="Times New Roman" w:hAnsi="Times New Roman" w:eastAsia="Calibri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(тыс. рублей)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1701"/>
        <w:gridCol w:w="1843"/>
        <w:gridCol w:w="1701"/>
        <w:gridCol w:w="2017"/>
      </w:tblGrid>
      <w:tr>
        <w:tblPrEx/>
        <w:trPr>
          <w:trHeight w:val="0"/>
        </w:trPr>
        <w:tc>
          <w:tcPr>
            <w:shd w:val="clear" w:color="ffffff" w:fill="ffffff"/>
            <w:tcW w:w="2659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муниципального образования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gridSpan w:val="4"/>
            <w:shd w:val="clear" w:color="ffffff" w:fill="ffffff"/>
            <w:tcW w:w="7262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 субсидий - всего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417"/>
        </w:trPr>
        <w:tc>
          <w:tcPr>
            <w:shd w:val="clear" w:color="ffffff" w:fill="ffffff"/>
            <w:tcW w:w="2659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gridSpan w:val="5"/>
            <w:shd w:val="clear" w:color="ffffff" w:fill="ffffff"/>
            <w:tcW w:w="992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Закон об окружном бюджете на 2025 год (в редакциях от 04.12.2024, от 10.03.2025, от 28.05.2025)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Провиденский МО, всего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694 076,8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237 999,9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170 276,9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285 800,0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 них: с. Сиреники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240 635,1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72 190,5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168 444,6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92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Закон об окружном бюджете на 2025 год (в редакции от 30.06.2025)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272"/>
        </w:trPr>
        <w:tc>
          <w:tcPr>
            <w:shd w:val="clear" w:color="ffffff" w:fill="ffffff"/>
            <w:tcW w:w="2659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Провиденский МО, всего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571 675,0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115 598,1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170 276,9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7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285 800,0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2659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 них: с. Сиреники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240 746,8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124 083,2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7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116 663,6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gridSpan w:val="5"/>
            <w:shd w:val="clear" w:color="ffffff" w:fill="ffffff"/>
            <w:tcW w:w="992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Закон об окружном бюджете на 2025 год (в редакции от 19.12.2025)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2659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Провиденский МО, всего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571 675,0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115 598,1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170 276,9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7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285 800,0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2659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 них: с. Сиреники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238 718,5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71 615,5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7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167 103,0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gridSpan w:val="5"/>
            <w:shd w:val="clear" w:color="ffffff" w:fill="ffffff"/>
            <w:tcW w:w="992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Чукотского автономного округа от 15.12.2025 № 640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W w:w="2659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Провиденский МО, всего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517 001,7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60 924,8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170 276,9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7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285 800,0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152"/>
        </w:trPr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 них: с. Сиреники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238 718,5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71 615,5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167 103,0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</w:rPr>
        <w:t xml:space="preserve">Сводной бюджетной росписью окружного бюджета по состоянию на 30 декабря 2025 года на обеспечение мероприятий по развитию жилищного строительства в 2025 году предусмотрено 332 147,8</w:t>
      </w:r>
      <w:r>
        <w:rPr>
          <w:rFonts w:ascii="Times New Roman" w:hAnsi="Times New Roman"/>
          <w:bCs/>
          <w:sz w:val="28"/>
          <w:szCs w:val="28"/>
        </w:rPr>
        <w:t xml:space="preserve"> тыс. рублей,</w:t>
      </w:r>
      <w:r>
        <w:rPr>
          <w:rFonts w:ascii="Times New Roman" w:hAnsi="Times New Roman"/>
          <w:bCs/>
          <w:sz w:val="28"/>
          <w:szCs w:val="28"/>
          <w:highlight w:val="white"/>
        </w:rPr>
        <w:t xml:space="preserve"> в том числе </w:t>
      </w:r>
      <w:r>
        <w:rPr>
          <w:rFonts w:ascii="Times New Roman" w:hAnsi="Times New Roman"/>
          <w:sz w:val="28"/>
          <w:szCs w:val="28"/>
          <w:highlight w:val="white"/>
        </w:rPr>
        <w:t xml:space="preserve">бюджету Провиденского МО – 60 924,8 тыс. рублей (из них с. Сиреники – 0,0 тыс. рублей).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708"/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Ресурсное обеспечение реализации мероприятия «Субсидии на обеспечение мероприятий по развитию жилищного строительства» регионального проекта «</w:t>
      </w:r>
      <w:r>
        <w:rPr>
          <w:rFonts w:ascii="Times New Roman" w:hAnsi="Times New Roman"/>
          <w:sz w:val="28"/>
          <w:szCs w:val="28"/>
        </w:rPr>
        <w:t xml:space="preserve">Жилье» Государственной программы № 540 предусмотрено за счет средств окружного бюджета в общем объеме 332 147,8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тыс. рублей в 2025 году (в редакции от 5 марта 2026 года), что соответств</w:t>
      </w:r>
      <w:r>
        <w:rPr>
          <w:rFonts w:ascii="Times New Roman" w:hAnsi="Times New Roman"/>
          <w:sz w:val="28"/>
          <w:szCs w:val="28"/>
          <w:highlight w:val="white"/>
        </w:rPr>
        <w:t xml:space="preserve">ует показателям Сводной бюджетной росписи окружного бюджета на 2025 год</w:t>
      </w:r>
      <w:r>
        <w:rPr>
          <w:rFonts w:ascii="Times New Roman" w:hAnsi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  <w:highlight w:val="white"/>
        </w:rPr>
      </w:pPr>
      <w:r>
        <w:rPr>
          <w:rFonts w:ascii="Times New Roman" w:hAnsi="Times New Roman" w:eastAsia="Calibri"/>
          <w:sz w:val="28"/>
        </w:rPr>
        <w:t xml:space="preserve">Предоставление субсидии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муниципальным образованиям Чукотского автономного округа </w:t>
      </w:r>
      <w:r>
        <w:rPr>
          <w:rFonts w:ascii="Times New Roman" w:hAnsi="Times New Roman" w:eastAsia="Calibri"/>
          <w:sz w:val="28"/>
        </w:rPr>
        <w:t xml:space="preserve">регулировалось положениями Порядка предоставления субсидии </w:t>
      </w:r>
      <w:r>
        <w:rPr>
          <w:rFonts w:ascii="Times New Roman" w:hAnsi="Times New Roman" w:eastAsia="Calibri"/>
          <w:sz w:val="28"/>
          <w:szCs w:val="24"/>
        </w:rPr>
        <w:t xml:space="preserve">на обеспечение мероприятий по развитию жилищного стро</w:t>
      </w:r>
      <w:r>
        <w:rPr>
          <w:rFonts w:ascii="Times New Roman" w:hAnsi="Times New Roman" w:eastAsia="Calibri"/>
          <w:sz w:val="28"/>
          <w:szCs w:val="24"/>
          <w:highlight w:val="white"/>
        </w:rPr>
        <w:t xml:space="preserve">ительства</w:t>
      </w:r>
      <w:r>
        <w:rPr>
          <w:rFonts w:ascii="Times New Roman" w:hAnsi="Times New Roman" w:eastAsia="Calibri"/>
          <w:sz w:val="28"/>
          <w:szCs w:val="24"/>
          <w:highlight w:val="white"/>
          <w:vertAlign w:val="superscript"/>
        </w:rPr>
        <w:footnoteReference w:id="7"/>
      </w:r>
      <w:r>
        <w:rPr>
          <w:rFonts w:ascii="Times New Roman" w:hAnsi="Times New Roman" w:eastAsia="Calibri"/>
          <w:sz w:val="28"/>
          <w:szCs w:val="24"/>
          <w:highlight w:val="white"/>
        </w:rPr>
        <w:t xml:space="preserve">.</w:t>
      </w:r>
      <w:r>
        <w:rPr>
          <w:rFonts w:ascii="Times New Roman" w:hAnsi="Times New Roman" w:eastAsia="Calibri"/>
          <w:sz w:val="28"/>
          <w:szCs w:val="28"/>
          <w:highlight w:val="white"/>
        </w:rPr>
      </w:r>
      <w:r>
        <w:rPr>
          <w:rFonts w:ascii="Times New Roman" w:hAnsi="Times New Roman" w:eastAsia="Calibri"/>
          <w:sz w:val="28"/>
          <w:szCs w:val="28"/>
          <w:highlight w:val="white"/>
        </w:rPr>
      </w:r>
    </w:p>
    <w:p>
      <w:pPr>
        <w:ind w:firstLine="708"/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В 2025 году Администрация Провиденского МО являлась одним из получателей Субсидии.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Цель. Установить соответствие деятельности объектов контроля действующе</w:t>
      </w:r>
      <w:r>
        <w:rPr>
          <w:rFonts w:ascii="Times New Roman" w:hAnsi="Times New Roman"/>
          <w:b/>
          <w:bCs/>
          <w:sz w:val="28"/>
          <w:szCs w:val="28"/>
        </w:rPr>
        <w:t xml:space="preserve">му законодательству Российской Федерации при реализации мероприятий по развитию жилищного строительс</w:t>
      </w:r>
      <w:r>
        <w:rPr>
          <w:rFonts w:ascii="Times New Roman" w:hAnsi="Times New Roman"/>
          <w:b/>
          <w:bCs/>
          <w:sz w:val="28"/>
          <w:szCs w:val="28"/>
        </w:rPr>
        <w:t xml:space="preserve">тва в с. Сиреники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/>
          <w:b/>
          <w:bCs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</w:t>
      </w:r>
      <w:r>
        <w:rPr>
          <w:rFonts w:ascii="Times New Roman" w:hAnsi="Times New Roman"/>
          <w:sz w:val="28"/>
          <w:szCs w:val="28"/>
        </w:rPr>
        <w:t xml:space="preserve"> Провиденского МО реализация мероприятий по развитию жилищного строительства в проверяемом периоде предусматривались в рамках </w:t>
      </w:r>
      <w:r>
        <w:rPr>
          <w:rFonts w:ascii="Times New Roman" w:hAnsi="Times New Roman"/>
          <w:sz w:val="28"/>
          <w:szCs w:val="28"/>
        </w:rPr>
        <w:t xml:space="preserve">мероприятия Региональный проект «Жилье» (Субсидии на обеспечение мероприятий по развитию жилищного</w:t>
      </w:r>
      <w:r>
        <w:rPr>
          <w:rFonts w:ascii="Times New Roman" w:hAnsi="Times New Roman"/>
          <w:sz w:val="28"/>
          <w:szCs w:val="28"/>
        </w:rPr>
        <w:t xml:space="preserve"> строительства) (далее – Мероприятие) М</w:t>
      </w:r>
      <w:r>
        <w:rPr>
          <w:rFonts w:ascii="Times New Roman" w:hAnsi="Times New Roman"/>
          <w:sz w:val="28"/>
          <w:szCs w:val="28"/>
        </w:rPr>
        <w:t xml:space="preserve">униципальной программы «Переселение граждан</w:t>
      </w:r>
      <w:r>
        <w:rPr>
          <w:rFonts w:ascii="Times New Roman" w:hAnsi="Times New Roman" w:eastAsia="Calibri"/>
          <w:bCs/>
          <w:sz w:val="28"/>
          <w:szCs w:val="28"/>
        </w:rPr>
        <w:t xml:space="preserve"> из аварийного жилищного фонда Провиденского муниципального округа»</w:t>
      </w:r>
      <w:r>
        <w:rPr>
          <w:rStyle w:val="4381"/>
          <w:rFonts w:ascii="Times New Roman" w:hAnsi="Times New Roman" w:eastAsia="Calibri"/>
          <w:bCs/>
          <w:sz w:val="28"/>
          <w:szCs w:val="28"/>
        </w:rPr>
        <w:footnoteReference w:id="8"/>
      </w:r>
      <w:r>
        <w:rPr>
          <w:rStyle w:val="4381"/>
          <w:rFonts w:ascii="Times New Roman" w:hAnsi="Times New Roman" w:eastAsia="Calibri"/>
          <w:bCs/>
          <w:sz w:val="28"/>
          <w:szCs w:val="28"/>
        </w:rPr>
        <w:t xml:space="preserve"> </w:t>
      </w:r>
      <w:r>
        <w:rPr>
          <w:rFonts w:ascii="Times New Roman" w:hAnsi="Times New Roman" w:eastAsia="Calibri"/>
          <w:bCs/>
          <w:sz w:val="28"/>
          <w:szCs w:val="28"/>
        </w:rPr>
        <w:t xml:space="preserve">(в редакции от 30 мая 2025 года № 209).</w:t>
      </w:r>
      <w:r>
        <w:rPr>
          <w:rFonts w:ascii="Times New Roman" w:hAnsi="Times New Roman" w:eastAsia="Calibri"/>
          <w:bCs/>
          <w:sz w:val="28"/>
          <w:szCs w:val="28"/>
        </w:rPr>
      </w:r>
      <w:r>
        <w:rPr>
          <w:rFonts w:ascii="Times New Roman" w:hAnsi="Times New Roman" w:eastAsia="Calibri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bCs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Общий объем финансового обеспечения </w:t>
      </w:r>
      <w:r>
        <w:rPr>
          <w:rFonts w:ascii="Times New Roman" w:hAnsi="Times New Roman" w:eastAsia="Calibri"/>
          <w:bCs/>
          <w:sz w:val="28"/>
          <w:szCs w:val="28"/>
        </w:rPr>
        <w:t xml:space="preserve">Мероприятия на 2025-2026 годы, предусмотренный </w:t>
      </w:r>
      <w:r>
        <w:rPr>
          <w:rFonts w:ascii="Times New Roman" w:hAnsi="Times New Roman" w:eastAsia="Calibri"/>
          <w:sz w:val="28"/>
          <w:szCs w:val="28"/>
        </w:rPr>
        <w:t xml:space="preserve">Муниципальной программой </w:t>
      </w:r>
      <w:r>
        <w:rPr>
          <w:rFonts w:ascii="Times New Roman" w:hAnsi="Times New Roman" w:eastAsia="Calibri"/>
          <w:bCs/>
          <w:sz w:val="28"/>
          <w:szCs w:val="28"/>
        </w:rPr>
        <w:t xml:space="preserve">«Переселение граждан из аварийного жилищного фонда Провиденского МО» </w:t>
      </w:r>
      <w:r>
        <w:rPr>
          <w:rFonts w:ascii="Times New Roman" w:hAnsi="Times New Roman" w:eastAsia="Calibri"/>
          <w:bCs/>
          <w:sz w:val="28"/>
          <w:szCs w:val="28"/>
        </w:rPr>
        <w:br/>
        <w:t xml:space="preserve">(в редакции от 30 мая 2025 года № 209), составляет в общей сумме 1 037 223,8 тыс. рублей, сведения представлены в </w:t>
      </w:r>
      <w:r>
        <w:rPr>
          <w:rFonts w:ascii="Times New Roman" w:hAnsi="Times New Roman" w:eastAsia="Calibri"/>
          <w:bCs/>
          <w:sz w:val="28"/>
          <w:szCs w:val="28"/>
        </w:rPr>
        <w:t xml:space="preserve">таблице № 2.</w:t>
      </w:r>
      <w:r>
        <w:rPr>
          <w:rFonts w:ascii="Times New Roman" w:hAnsi="Times New Roman" w:eastAsia="Calibri"/>
          <w:bCs/>
          <w:sz w:val="28"/>
          <w:szCs w:val="28"/>
        </w:rPr>
      </w:r>
      <w:r>
        <w:rPr>
          <w:rFonts w:ascii="Times New Roman" w:hAnsi="Times New Roman" w:eastAsia="Calibri"/>
          <w:bCs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Таблица № 2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ab/>
        <w:t xml:space="preserve">         (тыс. рублей)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tbl>
      <w:tblPr>
        <w:tblW w:w="9911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666"/>
        <w:gridCol w:w="1276"/>
        <w:gridCol w:w="1276"/>
        <w:gridCol w:w="1276"/>
        <w:gridCol w:w="1418"/>
      </w:tblGrid>
      <w:tr>
        <w:tblPrEx/>
        <w:trPr>
          <w:trHeight w:val="20"/>
          <w:tblHeader/>
        </w:trPr>
        <w:tc>
          <w:tcPr>
            <w:shd w:val="clear" w:color="ffffff" w:fill="ffffff"/>
            <w:tcW w:w="46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мероприятия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Период реализации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ffffff" w:fill="ffffff"/>
            <w:tcW w:w="3970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Объем финансовых ресурсов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30"/>
          <w:tblHeader/>
        </w:trPr>
        <w:tc>
          <w:tcPr>
            <w:tcW w:w="46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W w:w="2694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том числе средства: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  <w:tblHeader/>
        </w:trPr>
        <w:tc>
          <w:tcPr>
            <w:tcW w:w="46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окружного бюджета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местного бюджета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  <w:tblHeader/>
        </w:trPr>
        <w:tc>
          <w:tcPr>
            <w:tcW w:w="466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48"/>
        </w:trPr>
        <w:tc>
          <w:tcPr>
            <w:shd w:val="clear" w:color="ffffff" w:fill="ffffff"/>
            <w:tcW w:w="4666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Региональный проект «Жилье» </w:t>
            </w:r>
            <w:r>
              <w:rPr>
                <w:rFonts w:ascii="Times New Roman" w:hAnsi="Times New Roman" w:eastAsia="Calibri"/>
                <w:bCs/>
                <w:sz w:val="20"/>
                <w:szCs w:val="20"/>
                <w:shd w:val="clear" w:color="ffffff" w:fill="ffffff"/>
              </w:rPr>
              <w:t xml:space="preserve">(Субсидии на обеспечение мероприятий по развитию жилищного строительства)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313 766,8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313 453,0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313,8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tcW w:w="46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723 457,0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722 733,5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723,5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W w:w="466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W w:w="4666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2025-2027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1 037 223,8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1 036 186,5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1 037,3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  <w:t xml:space="preserve">Общий объем утвержденных Решениями о бюджете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Провиденского МО </w:t>
      </w:r>
      <w:r>
        <w:rPr>
          <w:rFonts w:ascii="Times New Roman" w:hAnsi="Times New Roman" w:eastAsia="Calibri"/>
          <w:bCs/>
          <w:sz w:val="28"/>
          <w:szCs w:val="28"/>
        </w:rPr>
        <w:t xml:space="preserve">на 2025 год</w:t>
      </w:r>
      <w:r>
        <w:rPr>
          <w:rStyle w:val="4381"/>
          <w:rFonts w:ascii="Times New Roman" w:hAnsi="Times New Roman" w:eastAsia="Calibri"/>
          <w:bCs/>
          <w:sz w:val="28"/>
          <w:szCs w:val="28"/>
        </w:rPr>
        <w:footnoteReference w:id="9"/>
      </w:r>
      <w:r>
        <w:rPr>
          <w:rFonts w:ascii="Times New Roman" w:hAnsi="Times New Roman" w:eastAsia="Calibri"/>
          <w:bCs/>
          <w:sz w:val="28"/>
          <w:szCs w:val="28"/>
        </w:rPr>
        <w:t xml:space="preserve">, на 2026 год</w:t>
      </w:r>
      <w:r>
        <w:rPr>
          <w:rStyle w:val="4381"/>
          <w:rFonts w:ascii="Times New Roman" w:hAnsi="Times New Roman" w:eastAsia="Calibri"/>
          <w:bCs/>
          <w:sz w:val="28"/>
          <w:szCs w:val="28"/>
        </w:rPr>
        <w:footnoteReference w:id="10"/>
      </w:r>
      <w:r>
        <w:rPr>
          <w:rStyle w:val="4381"/>
          <w:rFonts w:ascii="Times New Roman" w:hAnsi="Times New Roman" w:eastAsia="Calibri"/>
          <w:bCs/>
          <w:sz w:val="28"/>
          <w:szCs w:val="28"/>
        </w:rPr>
        <w:t xml:space="preserve"> </w:t>
      </w:r>
      <w:r>
        <w:rPr>
          <w:rFonts w:ascii="Times New Roman" w:hAnsi="Times New Roman" w:eastAsia="Calibri"/>
          <w:bCs/>
          <w:sz w:val="28"/>
          <w:szCs w:val="28"/>
        </w:rPr>
        <w:t xml:space="preserve">бюджетных ассигнований на реализацию мероприятия «Расходы на реализацию мероприятий по развитию жилищного строительства (Капитальные вложения в объекты государственной (муниципальной) собственности)</w:t>
      </w:r>
      <w:r>
        <w:rPr>
          <w:rFonts w:ascii="Times New Roman" w:hAnsi="Times New Roman" w:eastAsia="Calibri"/>
          <w:bCs/>
          <w:sz w:val="28"/>
          <w:szCs w:val="28"/>
          <w:highlight w:val="white"/>
        </w:rPr>
        <w:t xml:space="preserve">»</w:t>
      </w:r>
      <w:r>
        <w:rPr>
          <w:rStyle w:val="4381"/>
          <w:rFonts w:ascii="Times New Roman" w:hAnsi="Times New Roman" w:eastAsia="Calibri"/>
          <w:bCs/>
          <w:sz w:val="28"/>
          <w:szCs w:val="28"/>
          <w:highlight w:val="white"/>
        </w:rPr>
        <w:footnoteReference w:id="11"/>
      </w:r>
      <w:r>
        <w:rPr>
          <w:rFonts w:ascii="Times New Roman" w:hAnsi="Times New Roman" w:eastAsia="Calibri"/>
          <w:bCs/>
          <w:sz w:val="28"/>
          <w:szCs w:val="28"/>
          <w:highlight w:val="white"/>
        </w:rPr>
        <w:t xml:space="preserve">, сос</w:t>
      </w:r>
      <w:r>
        <w:rPr>
          <w:rFonts w:ascii="Times New Roman" w:hAnsi="Times New Roman" w:eastAsia="Calibri"/>
          <w:bCs/>
          <w:sz w:val="28"/>
          <w:szCs w:val="28"/>
        </w:rPr>
        <w:t xml:space="preserve">тавил: 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  <w:tab/>
        <w:t xml:space="preserve">- 105 391,4 тыс. рублей на 2025 год (из них: 44 405,6 тыс. рублей неиспользованные в 2024 году средства субсидии, подтвержденные к использованию в 2025 году);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  <w:tab/>
        <w:t xml:space="preserve">- 38 413,8 тыс. рублей на 2026 год (неиспользованные в 2025 году средства субсидии, подтвержде</w:t>
      </w:r>
      <w:r>
        <w:rPr>
          <w:rFonts w:ascii="Times New Roman" w:hAnsi="Times New Roman" w:eastAsia="Calibri"/>
          <w:bCs/>
          <w:sz w:val="28"/>
          <w:szCs w:val="28"/>
        </w:rPr>
        <w:t xml:space="preserve">нные к использованию в 2026 году).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  <w:t xml:space="preserve">Сведения об изменении бюджетных ассигнований на реализацию мероприятий по развитию жилищного строительства в Провиденском МО (в том числе с. Сиреники) в 2025 году представлены в таблице № 3.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left="7655"/>
        <w:jc w:val="right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  <w:highlight w:val="none"/>
        </w:rPr>
      </w:pPr>
      <w:r>
        <w:rPr>
          <w:rFonts w:ascii="Times New Roman" w:hAnsi="Times New Roman" w:eastAsia="Calibri"/>
          <w:sz w:val="28"/>
          <w:szCs w:val="28"/>
        </w:rPr>
        <w:t xml:space="preserve">Таблица № 3</w:t>
      </w:r>
      <w:r>
        <w:rPr>
          <w:rFonts w:ascii="Times New Roman" w:hAnsi="Times New Roman" w:eastAsia="Calibri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  <w:highlight w:val="none"/>
        </w:rPr>
      </w:r>
    </w:p>
    <w:p>
      <w:pPr>
        <w:ind w:left="7655"/>
        <w:jc w:val="right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(тыс. рублей)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tbl>
      <w:tblPr>
        <w:tblW w:w="991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375"/>
        <w:gridCol w:w="1417"/>
        <w:gridCol w:w="1559"/>
        <w:gridCol w:w="1560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Наименование НПА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Всего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Объем бюджетных ассигнований,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том числе средства: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5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окружного бюджета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местного бюджета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45"/>
        </w:trPr>
        <w:tc>
          <w:tcPr>
            <w:gridSpan w:val="4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Решение о бюджете Провиденского МО  на 2025 год (в редакции от 23.12.2024 № 239)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Расходы на реализацию мероприятий по развитию жилищного строительства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238 238,2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237 999,9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238,3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 них с. Сиреники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72 262,8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72 190,5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gridSpan w:val="4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Решение о бюджете Провиденского МО на 2025 год (в редакции от 20.02.2025 № 268)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Расходы на реализацию мероприятий по развитию жилищного строительства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282 643,8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282 361,1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282,7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 них с. Сиреники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72 262,8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72 190,5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4381"/>
                <w:rFonts w:ascii="Times New Roman" w:hAnsi="Times New Roman"/>
                <w:sz w:val="18"/>
                <w:szCs w:val="18"/>
                <w:vertAlign w:val="baseline"/>
              </w:rPr>
              <w:t xml:space="preserve">из них неиспользованные в 2024 году средства субсидии, подтвержденные к использованию в 2025 году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44 405,6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44 361,2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gridSpan w:val="4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Решение о бюджете Провиденского МО на 2025 год (в редакциях от 26.09.2025 № 297,  от 16.12.2025 № 314)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Расходы на реализацию мероприятий по развитию жилищного строительства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160 119,5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159 959,3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160,2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 них с. Сиреники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4381"/>
                <w:rFonts w:ascii="Times New Roman" w:hAnsi="Times New Roman"/>
                <w:sz w:val="18"/>
                <w:szCs w:val="18"/>
                <w:vertAlign w:val="baseline"/>
              </w:rPr>
              <w:t xml:space="preserve">из них неиспользованные в 2024 году средства субсидии, подтвержденные к использованию в 2025 году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44 405,6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44 361,2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gridSpan w:val="4"/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Решение о бюджете Провиденского МО на 2025 год (в редакции от 25.12.2025 № 329)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highlight w:val="white"/>
              </w:rPr>
              <w:t xml:space="preserve">Расходы на реализацию мероприятий по развитию жилищного строительства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105 391,4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105 286,0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105,4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 них с. Сиреники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5" w:type="dxa"/>
            <w:vAlign w:val="center"/>
            <w:vMerge w:val="restar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Style w:val="4381"/>
                <w:rFonts w:ascii="Times New Roman" w:hAnsi="Times New Roman"/>
                <w:sz w:val="18"/>
                <w:szCs w:val="18"/>
                <w:vertAlign w:val="baseline"/>
              </w:rPr>
              <w:t xml:space="preserve">из них неиспользованные в 2024 году средства субсидии, подтвержденные к использованию в 2025 году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44 405,6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44 361,2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4"/>
        </w:rPr>
        <w:tab/>
      </w:r>
      <w:r>
        <w:rPr>
          <w:rFonts w:ascii="Times New Roman" w:hAnsi="Times New Roman" w:eastAsia="Calibri"/>
          <w:sz w:val="28"/>
          <w:szCs w:val="24"/>
        </w:rPr>
        <w:t xml:space="preserve">Для заключения соглашения о предоставлении субсидии Администрацией Провиденского МО в соответствии с условиями пункта 2.5 Порядка </w:t>
      </w:r>
      <w:r>
        <w:rPr>
          <w:rFonts w:ascii="Times New Roman" w:hAnsi="Times New Roman"/>
          <w:sz w:val="28"/>
          <w:szCs w:val="28"/>
        </w:rPr>
        <w:t xml:space="preserve">предоставления субсидий на обеспечение мероприятий  по развитию жилищного строительства</w:t>
      </w:r>
      <w:r>
        <w:rPr>
          <w:rFonts w:ascii="Times New Roman" w:hAnsi="Times New Roman" w:eastAsia="Calibri"/>
          <w:sz w:val="28"/>
          <w:szCs w:val="28"/>
        </w:rPr>
        <w:t xml:space="preserve"> в Департамент строительства направлено</w:t>
      </w:r>
      <w:r>
        <w:rPr>
          <w:rFonts w:ascii="Times New Roman" w:hAnsi="Times New Roman" w:eastAsia="Calibri"/>
          <w:sz w:val="28"/>
          <w:szCs w:val="28"/>
        </w:rPr>
        <w:t xml:space="preserve"> письменное обращение от 17 января 2025 года № 107 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ab/>
        <w:t xml:space="preserve">Департаментом строительства с Администрацией Провиденского МО заключено Соглашение  о предоставлении субсидии из окружного бюджета бюджету Провиденского муниципального округа на обеспечение мероприятий </w:t>
      </w:r>
      <w:r>
        <w:rPr>
          <w:rFonts w:ascii="Times New Roman" w:hAnsi="Times New Roman" w:eastAsia="Calibri"/>
          <w:sz w:val="28"/>
        </w:rPr>
        <w:t xml:space="preserve">по развитию жилищного строительства от 11 февраля 2025 года № 25 (далее – Соглашение от 11.02.2025 № 25) на общую сумму 240 876,0 тыс. рублей, сведения представлены в таблице № 4.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Таблица № 4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(тыс. рублей)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76"/>
        <w:gridCol w:w="1843"/>
        <w:gridCol w:w="1417"/>
        <w:gridCol w:w="1417"/>
        <w:gridCol w:w="1560"/>
      </w:tblGrid>
      <w:tr>
        <w:tblPrEx/>
        <w:trPr/>
        <w:tc>
          <w:tcPr>
            <w:shd w:val="clear" w:color="ffffff" w:fill="ffffff"/>
            <w:tcW w:w="3576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источника финансирования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  <w:p>
            <w:pPr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gridSpan w:val="4"/>
            <w:shd w:val="clear" w:color="ffffff" w:fill="ffffff"/>
            <w:tcW w:w="623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 бюджетных ассигнований, предусмотренный соглашением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246"/>
        </w:trPr>
        <w:tc>
          <w:tcPr>
            <w:shd w:val="clear" w:color="ffffff" w:fill="ffffff"/>
            <w:tcW w:w="3576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155"/>
        </w:trPr>
        <w:tc>
          <w:tcPr>
            <w:shd w:val="clear" w:color="ffffff" w:fill="ffffff"/>
            <w:tcW w:w="3576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240 876,0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72 262,8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168 613,2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3576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окружного бюджета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240 635,1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72 190,5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168 444,6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3576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местного бюджета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240,9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72,3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168,6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ab/>
      </w:r>
      <w:r>
        <w:rPr>
          <w:rFonts w:ascii="Times New Roman" w:hAnsi="Times New Roman" w:eastAsia="Calibri"/>
          <w:sz w:val="28"/>
        </w:rPr>
        <w:t xml:space="preserve">В рамках реализации Соглашения от 11.02.2025 № 25 запланировано приобретение 12 жилых помещений в жилых домах на территории с. Сиреники общей площадью 669,1 кв. м в срок до 31 декабря 2026 года.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Реализацию Мероприятия Администрация Провиденского МО планиро</w:t>
      </w:r>
      <w:r>
        <w:rPr>
          <w:rFonts w:ascii="Times New Roman" w:hAnsi="Times New Roman"/>
          <w:sz w:val="28"/>
          <w:szCs w:val="28"/>
        </w:rPr>
        <w:t xml:space="preserve">вала осуществить путем заключения муниципального контракта на приобретение квартир в жилых домах у застройщика на территории </w:t>
      </w:r>
      <w:r>
        <w:rPr>
          <w:rFonts w:ascii="Times New Roman" w:hAnsi="Times New Roman"/>
          <w:sz w:val="28"/>
          <w:szCs w:val="28"/>
          <w:highlight w:val="white"/>
        </w:rPr>
        <w:t xml:space="preserve">с. С</w:t>
      </w:r>
      <w:r>
        <w:rPr>
          <w:rFonts w:ascii="Times New Roman" w:hAnsi="Times New Roman"/>
          <w:sz w:val="28"/>
          <w:szCs w:val="28"/>
        </w:rPr>
        <w:t xml:space="preserve">иреники в соответствии с требованиями Федерального закона от 5 апреля 2013 года № 44-ФЗ «О контрактной системе в сфере закупок </w:t>
      </w:r>
      <w:r>
        <w:rPr>
          <w:rFonts w:ascii="Times New Roman" w:hAnsi="Times New Roman"/>
          <w:sz w:val="28"/>
          <w:szCs w:val="28"/>
        </w:rPr>
        <w:t xml:space="preserve">товаров, работ, услуг для обеспечения государственных и муниципальных нужд» (далее – Закон № 44-ФЗ).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Планом-графиком Администрации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Провиденского МО </w:t>
      </w:r>
      <w:r>
        <w:rPr>
          <w:rFonts w:ascii="Times New Roman" w:hAnsi="Times New Roman"/>
          <w:sz w:val="28"/>
          <w:szCs w:val="28"/>
        </w:rPr>
        <w:t xml:space="preserve">на 2025 год</w:t>
      </w:r>
      <w:r>
        <w:rPr>
          <w:rStyle w:val="4381"/>
          <w:rFonts w:ascii="Times New Roman" w:hAnsi="Times New Roman"/>
          <w:sz w:val="28"/>
          <w:szCs w:val="28"/>
        </w:rPr>
        <w:footnoteReference w:id="12"/>
      </w:r>
      <w:r>
        <w:rPr>
          <w:rFonts w:ascii="Times New Roman" w:hAnsi="Times New Roman"/>
          <w:sz w:val="28"/>
          <w:szCs w:val="28"/>
        </w:rPr>
        <w:t xml:space="preserve"> предусмотрено осуществление закупки «Приобретение 12 жилых помещений в с. </w:t>
      </w:r>
      <w:r>
        <w:rPr>
          <w:rFonts w:ascii="Times New Roman" w:hAnsi="Times New Roman"/>
          <w:sz w:val="28"/>
          <w:szCs w:val="28"/>
        </w:rPr>
        <w:t xml:space="preserve">Сиреники для переселения граждан из аварийного жилищного фонда» с финансовым обеспечением 240 876,0 тыс. рублей, сведения о которой размещены 19 марта 2025 года, из них на 2025 год – 72 021,9 тыс. рублей, на 2026 год – 168 854,1 тыс. 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 определен</w:t>
      </w:r>
      <w:r>
        <w:rPr>
          <w:rFonts w:ascii="Times New Roman" w:hAnsi="Times New Roman"/>
          <w:sz w:val="28"/>
          <w:szCs w:val="28"/>
        </w:rPr>
        <w:t xml:space="preserve">ии начальной (максимальной) цены контракта (далее – НМЦК) Администрацией </w:t>
      </w:r>
      <w:r>
        <w:rPr>
          <w:rFonts w:ascii="Times New Roman" w:hAnsi="Times New Roman"/>
          <w:color w:val="000000"/>
          <w:sz w:val="28"/>
          <w:szCs w:val="28"/>
        </w:rPr>
        <w:t xml:space="preserve">Провиденского МО </w:t>
      </w:r>
      <w:r>
        <w:rPr>
          <w:rFonts w:ascii="Times New Roman" w:hAnsi="Times New Roman"/>
          <w:sz w:val="28"/>
          <w:szCs w:val="28"/>
        </w:rPr>
        <w:t xml:space="preserve">применен метод сопоставимых рыночных цен (анализа рынка) в соответствии с пунктом 2 статьи 22 Закона № 44-ФЗ и Методическими рекомендациями по применению методов опре</w:t>
      </w:r>
      <w:r>
        <w:rPr>
          <w:rFonts w:ascii="Times New Roman" w:hAnsi="Times New Roman"/>
          <w:sz w:val="28"/>
          <w:szCs w:val="28"/>
        </w:rPr>
        <w:t xml:space="preserve">деления начальной (максимальной) цены контракта, цены контракта, заключаемого с единственным поставщиком (подрядчиком, исполнителем</w:t>
      </w:r>
      <w:r>
        <w:rPr>
          <w:rFonts w:ascii="Times New Roman" w:hAnsi="Times New Roman"/>
          <w:sz w:val="28"/>
          <w:szCs w:val="28"/>
          <w:highlight w:val="white"/>
        </w:rPr>
        <w:t xml:space="preserve">)</w:t>
      </w:r>
      <w:r>
        <w:rPr>
          <w:rStyle w:val="4381"/>
          <w:rFonts w:ascii="Times New Roman" w:hAnsi="Times New Roman"/>
          <w:sz w:val="28"/>
          <w:szCs w:val="28"/>
          <w:highlight w:val="white"/>
        </w:rPr>
        <w:footnoteReference w:id="13"/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результатам запроса коммерческих предложений о стоимости приобретения одного квадратного метра общей площади жилого пом</w:t>
      </w:r>
      <w:r>
        <w:rPr>
          <w:rFonts w:ascii="Times New Roman" w:hAnsi="Times New Roman"/>
          <w:sz w:val="28"/>
          <w:szCs w:val="28"/>
        </w:rPr>
        <w:t xml:space="preserve">ещения для жилых домов блокированной застройки на территории с. Сиреники </w:t>
      </w:r>
      <w:r>
        <w:rPr>
          <w:rFonts w:ascii="Times New Roman" w:hAnsi="Times New Roman"/>
          <w:color w:val="000000"/>
          <w:sz w:val="28"/>
          <w:szCs w:val="28"/>
        </w:rPr>
        <w:t xml:space="preserve">Провиденского МО</w:t>
      </w:r>
      <w:r>
        <w:rPr>
          <w:rStyle w:val="4381"/>
          <w:rFonts w:ascii="Times New Roman" w:hAnsi="Times New Roman"/>
          <w:color w:val="000000"/>
          <w:sz w:val="28"/>
          <w:szCs w:val="28"/>
        </w:rPr>
        <w:footnoteReference w:id="14"/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ab/>
        <w:t xml:space="preserve">Исходя из стоимости приобретения 1 квадратного метра общей площади жилого помещения на территории с. Сиреники </w:t>
      </w:r>
      <w:r>
        <w:rPr>
          <w:rFonts w:ascii="Times New Roman" w:hAnsi="Times New Roman"/>
          <w:color w:val="000000"/>
          <w:sz w:val="28"/>
          <w:szCs w:val="28"/>
        </w:rPr>
        <w:t xml:space="preserve">Провиденского МО </w:t>
      </w:r>
      <w:r>
        <w:rPr>
          <w:rFonts w:ascii="Times New Roman" w:hAnsi="Times New Roman"/>
          <w:sz w:val="28"/>
          <w:szCs w:val="28"/>
        </w:rPr>
        <w:t xml:space="preserve">360 000,0  рублей (на основе трех ко</w:t>
      </w:r>
      <w:r>
        <w:rPr>
          <w:rFonts w:ascii="Times New Roman" w:hAnsi="Times New Roman"/>
          <w:sz w:val="28"/>
          <w:szCs w:val="28"/>
        </w:rPr>
        <w:t xml:space="preserve">ммерческих предложений) и общей площади приобретаемых жилых помещений 669,1 кв. м, НМЦК составила: 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360 000,0 рублей х 669,1 кв. м = 240 876 000,0 рублей.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 требованиями статьи 63 Закона № 44-ФЗ, извещение № 0888600000725000010 о проведен</w:t>
      </w:r>
      <w:r>
        <w:rPr>
          <w:rFonts w:ascii="Times New Roman" w:hAnsi="Times New Roman"/>
          <w:sz w:val="28"/>
          <w:szCs w:val="28"/>
        </w:rPr>
        <w:t xml:space="preserve">ии аукциона в электронной форме размещено в ЕИС 21 марта 2025 года в установленном порядке.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  <w:t xml:space="preserve">По окончании срока подачи заявок не подано ни одной заявки. В соответствии с пунктом 3 части 1 статьи 52 Закона № 44-ФЗ, электронный аукцион признан несостоявшимся</w:t>
      </w:r>
      <w:r>
        <w:rPr>
          <w:rFonts w:ascii="Times New Roman" w:hAnsi="Times New Roman"/>
          <w:sz w:val="28"/>
          <w:szCs w:val="28"/>
        </w:rPr>
        <w:t xml:space="preserve">, протокол подведения итогов определения поставщика (подрядчика, исполнителя) от 2 апреля 2025 года.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ab/>
        <w:t xml:space="preserve">По причине отсутствия заключенных Администрацией Провиденского МО муниципального контракта на приобретение жилых помещений на территории с. Сиреники и в д</w:t>
      </w:r>
      <w:r>
        <w:rPr>
          <w:rFonts w:ascii="Times New Roman" w:hAnsi="Times New Roman" w:eastAsia="Calibri"/>
          <w:sz w:val="28"/>
        </w:rPr>
        <w:t xml:space="preserve">ругих населенных пунктах </w:t>
      </w:r>
      <w:r>
        <w:rPr>
          <w:rFonts w:ascii="Times New Roman" w:hAnsi="Times New Roman" w:eastAsia="Calibri"/>
          <w:sz w:val="28"/>
        </w:rPr>
        <w:t xml:space="preserve">Провиденского МО</w:t>
      </w:r>
      <w:r>
        <w:rPr>
          <w:rStyle w:val="4381"/>
          <w:rFonts w:ascii="Times New Roman" w:hAnsi="Times New Roman" w:eastAsia="Calibri"/>
          <w:sz w:val="28"/>
        </w:rPr>
        <w:footnoteReference w:id="15"/>
      </w:r>
      <w:r>
        <w:rPr>
          <w:rFonts w:ascii="Times New Roman" w:hAnsi="Times New Roman" w:eastAsia="Calibri"/>
          <w:sz w:val="28"/>
        </w:rPr>
        <w:t xml:space="preserve">, Законом Чукотского автономного округа от 30 июня 2025 года № 49-ОЗ </w:t>
      </w:r>
      <w:r>
        <w:rPr>
          <w:rFonts w:ascii="Times New Roman" w:hAnsi="Times New Roman"/>
          <w:sz w:val="28"/>
          <w:szCs w:val="28"/>
        </w:rPr>
        <w:t xml:space="preserve">«О внесении изменений в Закон «Об окружном бюджете на 2025 год и на плановый период 2026 и 2027 годов»</w:t>
      </w:r>
      <w:r>
        <w:rPr>
          <w:rFonts w:ascii="Times New Roman" w:hAnsi="Times New Roman" w:eastAsia="Calibri"/>
          <w:sz w:val="28"/>
        </w:rPr>
        <w:t xml:space="preserve"> бюджету Провиденского МО уменьшен объем бю</w:t>
      </w:r>
      <w:r>
        <w:rPr>
          <w:rFonts w:ascii="Times New Roman" w:hAnsi="Times New Roman" w:eastAsia="Calibri"/>
          <w:sz w:val="28"/>
        </w:rPr>
        <w:t xml:space="preserve">джетных ассигнований в 2025 году на мероприятия по развитию жилищного строительства на 122 401,8 тыс. рублей (из них на 72 190,5 тыс. рублей на приобретение помещений в жилых домах на территории с. Сиреники).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bCs/>
          <w:sz w:val="28"/>
          <w:szCs w:val="28"/>
          <w:highlight w:val="white"/>
        </w:rPr>
      </w:pPr>
      <w:r>
        <w:rPr>
          <w:rFonts w:ascii="Times New Roman" w:hAnsi="Times New Roman" w:eastAsia="Calibri"/>
          <w:i/>
          <w:iCs/>
          <w:sz w:val="28"/>
          <w:szCs w:val="28"/>
        </w:rPr>
        <w:tab/>
      </w:r>
      <w:r>
        <w:rPr>
          <w:rFonts w:ascii="Times New Roman" w:hAnsi="Times New Roman" w:eastAsia="Calibri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  <w:highlight w:val="white"/>
        </w:rPr>
        <w:t xml:space="preserve">о </w:t>
      </w:r>
      <w:r>
        <w:rPr>
          <w:rFonts w:ascii="Times New Roman" w:hAnsi="Times New Roman"/>
          <w:sz w:val="28"/>
          <w:szCs w:val="28"/>
          <w:highlight w:val="white"/>
        </w:rPr>
        <w:t xml:space="preserve">пояснениям, представленным Администрацией Провиденского МО (письмо в адрес Счетной палаты Чукотского автономного округа от 27 марта 2026 года № 913) муниципальный контракт на приобретение жилых помещений в с. Сиреники в период март – июнь 2025 года не был </w:t>
      </w:r>
      <w:r>
        <w:rPr>
          <w:rFonts w:ascii="Times New Roman" w:hAnsi="Times New Roman"/>
          <w:sz w:val="28"/>
          <w:szCs w:val="28"/>
          <w:highlight w:val="white"/>
        </w:rPr>
        <w:t xml:space="preserve">заключен по причине отсутствия заявок на участие в электронном аукционе по опубликованному в ЕИС извещению о закупке от 21</w:t>
      </w:r>
      <w:r>
        <w:rPr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марта 2025 года. В последствии определение подрядчика не осуществлялось в связи с разработкой технического задания, предусматривающег</w:t>
      </w:r>
      <w:r>
        <w:rPr>
          <w:rFonts w:ascii="Times New Roman" w:hAnsi="Times New Roman"/>
          <w:sz w:val="28"/>
          <w:szCs w:val="28"/>
          <w:highlight w:val="white"/>
        </w:rPr>
        <w:t xml:space="preserve">о строительство жилого дома, в том числе подготовки проектной документации на строительство и прохождение государственной экспертизы проекта.</w:t>
      </w:r>
      <w:r>
        <w:rPr>
          <w:rFonts w:ascii="Times New Roman" w:hAnsi="Times New Roman" w:eastAsia="Calibri"/>
          <w:bCs/>
          <w:sz w:val="28"/>
          <w:szCs w:val="28"/>
          <w:highlight w:val="white"/>
        </w:rPr>
      </w:r>
      <w:r>
        <w:rPr>
          <w:rFonts w:ascii="Times New Roman" w:hAnsi="Times New Roman" w:eastAsia="Calibri"/>
          <w:bCs/>
          <w:sz w:val="28"/>
          <w:szCs w:val="28"/>
          <w:highlight w:val="white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</w:pPr>
      <w:r>
        <w:rPr>
          <w:rFonts w:ascii="Times New Roman" w:hAnsi="Times New Roman" w:eastAsia="Calibri"/>
          <w:sz w:val="28"/>
        </w:rPr>
        <w:tab/>
        <w:t xml:space="preserve">В соответствии с пунктом 2.3 Соглашения от 11.02.2025 № 25</w:t>
      </w:r>
      <w:r>
        <w:rPr>
          <w:rStyle w:val="4381"/>
          <w:rFonts w:ascii="Times New Roman" w:hAnsi="Times New Roman" w:eastAsia="Calibri"/>
          <w:sz w:val="28"/>
          <w:vertAlign w:val="baseline"/>
        </w:rPr>
        <w:t xml:space="preserve">,</w:t>
      </w:r>
      <w:r>
        <w:rPr>
          <w:rStyle w:val="4381"/>
          <w:rFonts w:ascii="Times New Roman" w:hAnsi="Times New Roman" w:eastAsia="Calibri"/>
          <w:sz w:val="28"/>
        </w:rPr>
        <w:t xml:space="preserve"> </w:t>
      </w:r>
      <w:r>
        <w:rPr>
          <w:rFonts w:ascii="Times New Roman" w:hAnsi="Times New Roman" w:eastAsia="Calibri"/>
          <w:sz w:val="28"/>
        </w:rPr>
        <w:t xml:space="preserve">Департаментом строительства с Администрацией Провиден</w:t>
      </w:r>
      <w:r>
        <w:rPr>
          <w:rFonts w:ascii="Times New Roman" w:hAnsi="Times New Roman" w:eastAsia="Calibri"/>
          <w:sz w:val="28"/>
        </w:rPr>
        <w:t xml:space="preserve">ского МО заключено Дополнительное соглашение от 29 августа 2025 года № 2</w:t>
      </w:r>
      <w:r>
        <w:rPr>
          <w:rStyle w:val="4381"/>
          <w:rFonts w:ascii="Times New Roman" w:hAnsi="Times New Roman" w:eastAsia="Calibri"/>
          <w:sz w:val="28"/>
        </w:rPr>
        <w:footnoteReference w:id="16"/>
      </w:r>
      <w:r>
        <w:rPr>
          <w:rStyle w:val="4381"/>
          <w:rFonts w:ascii="Times New Roman" w:hAnsi="Times New Roman" w:eastAsia="Calibri"/>
          <w:sz w:val="28"/>
        </w:rPr>
        <w:t xml:space="preserve"> </w:t>
      </w:r>
      <w:r>
        <w:rPr>
          <w:rStyle w:val="4381"/>
          <w:rFonts w:ascii="Times New Roman" w:hAnsi="Times New Roman" w:eastAsia="Calibri"/>
          <w:sz w:val="28"/>
          <w:vertAlign w:val="baseline"/>
        </w:rPr>
        <w:t xml:space="preserve">на общую сумму 240 876,0 тыс. рублей</w:t>
      </w:r>
      <w:r>
        <w:rPr>
          <w:rFonts w:ascii="Times New Roman" w:hAnsi="Times New Roman" w:eastAsia="Calibri"/>
          <w:sz w:val="28"/>
        </w:rPr>
        <w:t xml:space="preserve">, которым перераспределен объем бюджетных ассигнований Администрации Провиденского МО на приобретение жилых помещений в жилых домах в с. Сиреники </w:t>
      </w:r>
      <w:r>
        <w:rPr>
          <w:rFonts w:ascii="Times New Roman" w:hAnsi="Times New Roman" w:eastAsia="Calibri"/>
          <w:sz w:val="28"/>
        </w:rPr>
        <w:br/>
        <w:t xml:space="preserve">с 2025-2026 годов на 2026-2027 годы, сведения представлены в таблице № 5.</w:t>
      </w:r>
      <w:r/>
    </w:p>
    <w:p>
      <w:pPr>
        <w:jc w:val="right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Таблица № 5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(тыс. рублей)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1701"/>
        <w:gridCol w:w="1701"/>
        <w:gridCol w:w="1559"/>
        <w:gridCol w:w="2018"/>
      </w:tblGrid>
      <w:tr>
        <w:tblPrEx/>
        <w:trPr/>
        <w:tc>
          <w:tcPr>
            <w:shd w:val="clear" w:color="ffffff" w:fill="ffffff"/>
            <w:tcW w:w="2834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источника финансирования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  <w:p>
            <w:pPr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gridSpan w:val="4"/>
            <w:shd w:val="clear" w:color="ffffff" w:fill="ffffff"/>
            <w:tcW w:w="69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 бюджетных ассигнований, предусмотренный соглашением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201"/>
        </w:trPr>
        <w:tc>
          <w:tcPr>
            <w:shd w:val="clear" w:color="ffffff" w:fill="ffffff"/>
            <w:tcW w:w="2834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155"/>
        </w:trPr>
        <w:tc>
          <w:tcPr>
            <w:shd w:val="clear" w:color="ffffff" w:fill="ffffff"/>
            <w:tcW w:w="2834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240 876,0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124 095,6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0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116 780,4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283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окружного бюджета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240 746,8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124 083,2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116 663,6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2834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местного бюджета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129,2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12,4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116,8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 xml:space="preserve">Кроме того, Дополнительным соглашением от 29 августа 2025 года № 2 изменен срок приобретения 12 жилых </w:t>
      </w:r>
      <w:r>
        <w:rPr>
          <w:rFonts w:ascii="Times New Roman" w:hAnsi="Times New Roman" w:eastAsia="Calibri"/>
          <w:sz w:val="28"/>
        </w:rPr>
        <w:t xml:space="preserve">помещений в жилых домах на территории с. Сиреники общей площадью 669,1 кв. м до 31 декабря 2027 года.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ab/>
        <w:t xml:space="preserve">Письмом от 17 октября 2025 года № 2960 Администрация Провиденского МО обратилась в Департамент строительства с просьбой изменить объем средств субсидии, </w:t>
      </w:r>
      <w:r>
        <w:rPr>
          <w:rFonts w:ascii="Times New Roman" w:hAnsi="Times New Roman" w:eastAsia="Calibri"/>
          <w:sz w:val="28"/>
        </w:rPr>
        <w:t xml:space="preserve">предусмотренный Соглашением от 11.02.2025 № 25 на 2026-2027 годы и предусмотреть на 2026 год – 71 687,2 тыс. рублей, на 2027 год – 167 270,2 тыс. рублей, для заключения контракта на строительство 10 жилых помещений в с. Сиреники в ноябре </w:t>
      </w:r>
      <w:r>
        <w:rPr>
          <w:rFonts w:ascii="Times New Roman" w:hAnsi="Times New Roman" w:eastAsia="Calibri"/>
          <w:sz w:val="28"/>
        </w:rPr>
        <w:t xml:space="preserve">2025 года (взамен </w:t>
      </w:r>
      <w:r>
        <w:rPr>
          <w:rFonts w:ascii="Times New Roman" w:hAnsi="Times New Roman" w:eastAsia="Calibri"/>
          <w:sz w:val="28"/>
        </w:rPr>
        <w:t xml:space="preserve">ранее предусмотренного приобретения жилых помещений).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ab/>
        <w:t xml:space="preserve">По результатам рассмотрения обращения Администрации Провиденского МО, Департаментом  с Администрацией заключено Дополнительное соглашение от 17 октября 2025 года № 3 на общую сумму 238 957,4 тыс. рубле</w:t>
      </w:r>
      <w:r>
        <w:rPr>
          <w:rFonts w:ascii="Times New Roman" w:hAnsi="Times New Roman" w:eastAsia="Calibri"/>
          <w:sz w:val="28"/>
        </w:rPr>
        <w:t xml:space="preserve">й, сведения представлены в таблице № 6.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  <w:highlight w:val="none"/>
        </w:rPr>
      </w:pPr>
      <w:r>
        <w:rPr>
          <w:rFonts w:ascii="Times New Roman" w:hAnsi="Times New Roman" w:eastAsia="Calibri"/>
          <w:sz w:val="28"/>
          <w:szCs w:val="28"/>
        </w:rPr>
        <w:t xml:space="preserve">Таблица № 6</w:t>
      </w:r>
      <w:r>
        <w:rPr>
          <w:rFonts w:ascii="Times New Roman" w:hAnsi="Times New Roman" w:eastAsia="Calibri"/>
          <w:sz w:val="28"/>
          <w:szCs w:val="28"/>
          <w:highlight w:val="none"/>
        </w:rPr>
      </w:r>
      <w:r>
        <w:rPr>
          <w:rFonts w:ascii="Times New Roman" w:hAnsi="Times New Roman" w:eastAsia="Calibri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(тыс. рублей)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1701"/>
        <w:gridCol w:w="1701"/>
        <w:gridCol w:w="1559"/>
        <w:gridCol w:w="2018"/>
      </w:tblGrid>
      <w:tr>
        <w:tblPrEx/>
        <w:trPr/>
        <w:tc>
          <w:tcPr>
            <w:shd w:val="clear" w:color="ffffff" w:fill="ffffff"/>
            <w:tcW w:w="2834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источника финансирования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  <w:p>
            <w:pPr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gridSpan w:val="4"/>
            <w:shd w:val="clear" w:color="ffffff" w:fill="ffffff"/>
            <w:tcW w:w="697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 бюджетных ассигнований, предусмотренный соглашением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15"/>
        </w:trPr>
        <w:tc>
          <w:tcPr>
            <w:shd w:val="clear" w:color="ffffff" w:fill="ffffff"/>
            <w:tcW w:w="2834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>
          <w:trHeight w:val="59"/>
        </w:trPr>
        <w:tc>
          <w:tcPr>
            <w:shd w:val="clear" w:color="ffffff" w:fill="ffffff"/>
            <w:tcW w:w="2834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238 957,5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71 687,2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0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167 270,3</w:t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Calibri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02"/>
        </w:trPr>
        <w:tc>
          <w:tcPr>
            <w:shd w:val="clear" w:color="ffffff" w:fill="ffffff"/>
            <w:tcW w:w="283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окружного бюджета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238 718,5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71 615,5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167 103,0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2834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местного бюджета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71,7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  <w:tc>
          <w:tcPr>
            <w:shd w:val="clear" w:color="ffffff" w:fill="ffffff"/>
            <w:tcW w:w="20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auto" w:fill="ffffff"/>
              <w:tabs>
                <w:tab w:val="left" w:pos="709" w:leader="none"/>
              </w:tabs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167,3</w:t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  <w:r>
              <w:rPr>
                <w:rFonts w:ascii="Times New Roman" w:hAnsi="Times New Roman" w:eastAsia="Calibri"/>
                <w:sz w:val="20"/>
                <w:szCs w:val="20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ab/>
        <w:t xml:space="preserve">Дополнительным Соглашением от 17 октября 2025 года № 3 предусмотрено строительство 10 жилых помещений в с. Сиреники общей площадью 567,1 </w:t>
      </w:r>
      <w:r>
        <w:rPr>
          <w:rFonts w:ascii="Times New Roman" w:hAnsi="Times New Roman" w:eastAsia="Calibri"/>
          <w:sz w:val="28"/>
        </w:rPr>
        <w:t xml:space="preserve">кв.м</w:t>
      </w:r>
      <w:r>
        <w:rPr>
          <w:rFonts w:ascii="Times New Roman" w:hAnsi="Times New Roman" w:eastAsia="Calibri"/>
          <w:sz w:val="28"/>
        </w:rPr>
        <w:t xml:space="preserve"> до 31 декабря 2027 года.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ab/>
        <w:t xml:space="preserve">Как следует из пояснений Администрации Провиденского МО (письмо в адрес Счетной палаты Чукотского автономного округа от 27 марта 2026 года № 913), муниципальный контракт на строительство 10 жилых помещений в с. Сиреники в ноябре </w:t>
      </w:r>
      <w:r>
        <w:rPr>
          <w:rFonts w:ascii="Times New Roman" w:hAnsi="Times New Roman" w:eastAsia="Calibri"/>
          <w:sz w:val="28"/>
        </w:rPr>
        <w:t xml:space="preserve">– декабре 2025 года не был заключен по причине отсутствия в проекте бюджета Чукотского автономного округа на 2026 год и плановый период 2027 и 2028 годов бюджетных ассигнований </w:t>
      </w:r>
      <w:r>
        <w:rPr>
          <w:rFonts w:ascii="Times New Roman" w:hAnsi="Times New Roman" w:eastAsia="Calibri"/>
          <w:sz w:val="28"/>
        </w:rPr>
        <w:t xml:space="preserve">Провиденскому</w:t>
      </w:r>
      <w:r>
        <w:rPr>
          <w:rFonts w:ascii="Times New Roman" w:hAnsi="Times New Roman" w:eastAsia="Calibri"/>
          <w:sz w:val="28"/>
        </w:rPr>
        <w:t xml:space="preserve"> МО на реализацию мероприятий по развитию жилищного строительства </w:t>
      </w:r>
      <w:r>
        <w:rPr>
          <w:rFonts w:ascii="Times New Roman" w:hAnsi="Times New Roman" w:eastAsia="Calibri"/>
          <w:sz w:val="28"/>
        </w:rPr>
        <w:t xml:space="preserve">(письмо Администрации Провиденского МО от 17 ноября 2025 года № 3247 в адрес Департамента строительства и Департамента финансов). 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Законом Чукотского автономного округа от 3 декабря 2025 года </w:t>
      </w:r>
      <w:r>
        <w:rPr>
          <w:rFonts w:ascii="Times New Roman" w:hAnsi="Times New Roman"/>
          <w:sz w:val="28"/>
          <w:szCs w:val="28"/>
        </w:rPr>
        <w:br/>
        <w:t xml:space="preserve">№ 95-ОЗ «Об окружном бюджете на 2026 год и на плановый период 2</w:t>
      </w:r>
      <w:r>
        <w:rPr>
          <w:rFonts w:ascii="Times New Roman" w:hAnsi="Times New Roman"/>
          <w:sz w:val="28"/>
          <w:szCs w:val="28"/>
        </w:rPr>
        <w:t xml:space="preserve">027 и 2028 годов» </w:t>
      </w:r>
      <w:r>
        <w:rPr>
          <w:rFonts w:ascii="Times New Roman" w:hAnsi="Times New Roman"/>
          <w:sz w:val="28"/>
          <w:szCs w:val="28"/>
        </w:rPr>
        <w:t xml:space="preserve">Провиденскому</w:t>
      </w:r>
      <w:r>
        <w:rPr>
          <w:rFonts w:ascii="Times New Roman" w:hAnsi="Times New Roman"/>
          <w:sz w:val="28"/>
          <w:szCs w:val="28"/>
        </w:rPr>
        <w:t xml:space="preserve"> МО бюджетные ассигнования на реализацию мероприятий по развитию жилищного строительства на 2026 год и на плановый период 2027 и 2028 годов не предусмотрены.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Решением о бюджете Провиденского МО на 2026 год бюджетные ассигнов</w:t>
      </w:r>
      <w:r>
        <w:rPr>
          <w:rFonts w:ascii="Times New Roman" w:hAnsi="Times New Roman"/>
          <w:sz w:val="28"/>
          <w:szCs w:val="28"/>
        </w:rPr>
        <w:t xml:space="preserve">ания на реализацию мероприятий по развитию жилищного строительства с. Сиреники не предусмотрены.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</w:rPr>
        <w:tab/>
        <w:t xml:space="preserve">В</w:t>
      </w:r>
      <w:r>
        <w:rPr>
          <w:rFonts w:ascii="Times New Roman" w:hAnsi="Times New Roman"/>
          <w:sz w:val="28"/>
          <w:szCs w:val="28"/>
        </w:rPr>
        <w:t xml:space="preserve"> проверяемом периоде бюджетные средства </w:t>
      </w:r>
      <w:r>
        <w:rPr>
          <w:rFonts w:ascii="Times New Roman" w:hAnsi="Times New Roman"/>
          <w:sz w:val="28"/>
          <w:szCs w:val="28"/>
        </w:rPr>
        <w:t xml:space="preserve">Провиденскому</w:t>
      </w:r>
      <w:r>
        <w:rPr>
          <w:rFonts w:ascii="Times New Roman" w:hAnsi="Times New Roman"/>
          <w:sz w:val="28"/>
          <w:szCs w:val="28"/>
        </w:rPr>
        <w:t xml:space="preserve"> МО на реализацию мероприятия по развитию жилищного строительства в с. Сиреники Департаментом строитель</w:t>
      </w:r>
      <w:r>
        <w:rPr>
          <w:rFonts w:ascii="Times New Roman" w:hAnsi="Times New Roman"/>
          <w:sz w:val="28"/>
          <w:szCs w:val="28"/>
        </w:rPr>
        <w:t xml:space="preserve">ства не предоставлялись, Мероприятие Администрацией не реализовано.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Предусмотренная </w:t>
      </w:r>
      <w:r>
        <w:rPr>
          <w:rFonts w:ascii="Times New Roman" w:hAnsi="Times New Roman"/>
          <w:sz w:val="28"/>
          <w:szCs w:val="28"/>
          <w:lang w:eastAsia="en-US"/>
        </w:rPr>
        <w:t xml:space="preserve">пунктом 4.3 Соглашения от 11.02.2025 № 25 отчетность, представлена Администрацией Провиденского МО в Департамент строительства в установленный срок.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</w:rPr>
        <w:tab/>
      </w:r>
      <w:r>
        <w:rPr>
          <w:rFonts w:ascii="Times New Roman" w:hAnsi="Times New Roman"/>
          <w:sz w:val="28"/>
          <w:szCs w:val="28"/>
          <w:highlight w:val="white"/>
        </w:rPr>
        <w:t xml:space="preserve">Дополнительным соглаш</w:t>
      </w:r>
      <w:r>
        <w:rPr>
          <w:rFonts w:ascii="Times New Roman" w:hAnsi="Times New Roman"/>
          <w:sz w:val="28"/>
          <w:szCs w:val="28"/>
          <w:highlight w:val="white"/>
        </w:rPr>
        <w:t xml:space="preserve">ением от 20 февраля 2026 года № 6, Соглашение от 11.02.2025 № 25 расторгнуто.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ab/>
        <w:t xml:space="preserve">В ходе проверки соответствия деятельности объектов контроля действующе</w:t>
      </w:r>
      <w:r>
        <w:rPr>
          <w:rFonts w:ascii="Times New Roman" w:hAnsi="Times New Roman" w:eastAsia="Calibri"/>
          <w:sz w:val="28"/>
          <w:szCs w:val="28"/>
        </w:rPr>
        <w:t xml:space="preserve">му законодательству Российской Федерации при реализации </w:t>
      </w:r>
      <w:r>
        <w:rPr>
          <w:rFonts w:ascii="Times New Roman" w:hAnsi="Times New Roman" w:eastAsia="Calibri"/>
          <w:sz w:val="28"/>
          <w:szCs w:val="28"/>
        </w:rPr>
        <w:t xml:space="preserve">мероприятий по развитию жилищного строительства в с. Сиреники установлены следующие нарушения: 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1. Администрацией Провиденского МО: 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  <w:highlight w:val="white"/>
        </w:rPr>
      </w:pPr>
      <w:r>
        <w:rPr>
          <w:rFonts w:ascii="Times New Roman" w:hAnsi="Times New Roman" w:eastAsia="Calibri"/>
          <w:sz w:val="28"/>
          <w:szCs w:val="28"/>
          <w:highlight w:val="white"/>
        </w:rPr>
        <w:t xml:space="preserve">- нарушение абзаца 5 пункта 2 статьи 179 Бюджетного кодекса</w:t>
      </w:r>
      <w:r>
        <w:rPr>
          <w:rFonts w:ascii="Times New Roman" w:hAnsi="Times New Roman" w:eastAsia="Calibri"/>
          <w:sz w:val="28"/>
          <w:szCs w:val="28"/>
          <w:highlight w:val="white"/>
          <w:vertAlign w:val="superscript"/>
        </w:rPr>
        <w:footnoteReference w:id="17"/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, пункт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а 5</w:t>
      </w:r>
      <w:r>
        <w:rPr>
          <w:rFonts w:ascii="Times New Roman" w:hAnsi="Times New Roman"/>
          <w:sz w:val="28"/>
          <w:szCs w:val="28"/>
          <w:highlight w:val="white"/>
        </w:rPr>
        <w:t xml:space="preserve">.6 Порядка разработки, реализации и оценки эффективности муниципальных программ Провиденского МО</w:t>
      </w:r>
      <w:r>
        <w:rPr>
          <w:rStyle w:val="4381"/>
          <w:rFonts w:ascii="Times New Roman" w:hAnsi="Times New Roman"/>
          <w:sz w:val="28"/>
          <w:szCs w:val="28"/>
          <w:highlight w:val="white"/>
        </w:rPr>
        <w:footnoteReference w:id="18"/>
      </w:r>
      <w:r>
        <w:rPr>
          <w:rStyle w:val="4381"/>
          <w:rFonts w:ascii="Times New Roman" w:hAnsi="Times New Roman"/>
          <w:sz w:val="28"/>
          <w:szCs w:val="28"/>
          <w:highlight w:val="white"/>
          <w:vertAlign w:val="baseline"/>
        </w:rPr>
        <w:t xml:space="preserve">, 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Администрацией Провиденского МО, как ответственным исполнителем Муниципальной программы </w:t>
      </w:r>
      <w:r>
        <w:rPr>
          <w:rFonts w:ascii="Times New Roman" w:hAnsi="Times New Roman" w:eastAsia="Calibri"/>
          <w:bCs/>
          <w:sz w:val="28"/>
          <w:szCs w:val="28"/>
        </w:rPr>
        <w:t xml:space="preserve">«Переселение граждан из аварийного жилищного фонда Провиденского М</w:t>
      </w:r>
      <w:r>
        <w:rPr>
          <w:rFonts w:ascii="Times New Roman" w:hAnsi="Times New Roman" w:eastAsia="Calibri"/>
          <w:bCs/>
          <w:sz w:val="28"/>
          <w:szCs w:val="28"/>
        </w:rPr>
        <w:t xml:space="preserve">О»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, не обеспечено приведение ее ресурсного обеспечения в соответствие с Решениями о бюджете Провиденского МО на 2025, 2026 годы в установленный срок;</w:t>
      </w:r>
      <w:r>
        <w:rPr>
          <w:rFonts w:ascii="Times New Roman" w:hAnsi="Times New Roman" w:eastAsia="Calibri"/>
          <w:sz w:val="28"/>
          <w:szCs w:val="28"/>
          <w:highlight w:val="white"/>
        </w:rPr>
      </w:r>
      <w:r>
        <w:rPr>
          <w:rFonts w:ascii="Times New Roman" w:hAnsi="Times New Roman" w:eastAsia="Calibri"/>
          <w:sz w:val="28"/>
          <w:szCs w:val="28"/>
          <w:highlight w:val="white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  <w:highlight w:val="white"/>
        </w:rPr>
      </w:pPr>
      <w:r>
        <w:rPr>
          <w:rFonts w:ascii="Times New Roman" w:hAnsi="Times New Roman" w:eastAsia="Calibri"/>
          <w:sz w:val="28"/>
          <w:szCs w:val="28"/>
          <w:highlight w:val="white"/>
        </w:rPr>
        <w:t xml:space="preserve">- нарушение пункта 4 статьи 21 Бюджетного кодекса, пункта 19 Приказа Министерства финансов Российской Феде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рации от 24 мая 2022 года № 82н «О Порядке формирования и применения кодов бюджетной классификации Российской Федерации, их структуре и принципах назначения», Администрацией Провиденского МО н</w:t>
      </w:r>
      <w:r>
        <w:rPr>
          <w:rFonts w:ascii="Times New Roman" w:hAnsi="Times New Roman"/>
          <w:sz w:val="28"/>
          <w:szCs w:val="28"/>
          <w:highlight w:val="white"/>
        </w:rPr>
        <w:t xml:space="preserve">аименование мероприятия «</w:t>
      </w:r>
      <w:r>
        <w:rPr>
          <w:rFonts w:ascii="Times New Roman" w:hAnsi="Times New Roman" w:eastAsia="Calibri"/>
          <w:bCs/>
          <w:sz w:val="28"/>
          <w:szCs w:val="28"/>
          <w:highlight w:val="white"/>
          <w:shd w:val="clear" w:color="ffffff" w:fill="ffffff"/>
        </w:rPr>
        <w:t xml:space="preserve">Региональный проект «Жилье» (Субсидии н</w:t>
      </w:r>
      <w:r>
        <w:rPr>
          <w:rFonts w:ascii="Times New Roman" w:hAnsi="Times New Roman" w:eastAsia="Calibri"/>
          <w:bCs/>
          <w:sz w:val="28"/>
          <w:szCs w:val="28"/>
          <w:highlight w:val="white"/>
          <w:shd w:val="clear" w:color="ffffff" w:fill="ffffff"/>
        </w:rPr>
        <w:t xml:space="preserve">а обеспечение мероприятий по развитию жилищного строительства)»</w:t>
      </w:r>
      <w:r>
        <w:rPr>
          <w:rFonts w:ascii="Times New Roman" w:hAnsi="Times New Roman"/>
          <w:sz w:val="28"/>
          <w:szCs w:val="28"/>
          <w:highlight w:val="white"/>
        </w:rPr>
        <w:t xml:space="preserve"> Муниципальной программы </w:t>
      </w:r>
      <w:r>
        <w:rPr>
          <w:rFonts w:ascii="Times New Roman" w:hAnsi="Times New Roman" w:eastAsia="Calibri"/>
          <w:bCs/>
          <w:sz w:val="28"/>
          <w:szCs w:val="28"/>
        </w:rPr>
        <w:t xml:space="preserve">«Переселение граждан из аварийного жилищного фонда Провиденского МО»</w:t>
      </w:r>
      <w:r>
        <w:rPr>
          <w:rFonts w:ascii="Times New Roman" w:hAnsi="Times New Roman"/>
          <w:sz w:val="28"/>
          <w:szCs w:val="28"/>
          <w:highlight w:val="white"/>
        </w:rPr>
        <w:t xml:space="preserve"> не приведено в соответствие с наименованием целевой статьи расходов бюджета Провиденского МО «18 0 </w:t>
      </w:r>
      <w:r>
        <w:rPr>
          <w:rFonts w:ascii="Times New Roman" w:hAnsi="Times New Roman"/>
          <w:sz w:val="28"/>
          <w:szCs w:val="28"/>
          <w:highlight w:val="white"/>
        </w:rPr>
        <w:t xml:space="preserve">И2 S2280 – расходы на обеспечение мероприятий по развитию жилищного строительства (Капитальные вложения в объекты государственной (муниципальной) собственности)», что не обеспечивает привязку бюджетных ассигнований к муниципальной программе.</w:t>
      </w:r>
      <w:r>
        <w:rPr>
          <w:rFonts w:ascii="Times New Roman" w:hAnsi="Times New Roman" w:eastAsia="Calibri"/>
          <w:sz w:val="28"/>
          <w:szCs w:val="28"/>
          <w:highlight w:val="white"/>
        </w:rPr>
      </w:r>
      <w:r>
        <w:rPr>
          <w:rFonts w:ascii="Times New Roman" w:hAnsi="Times New Roman" w:eastAsia="Calibri"/>
          <w:sz w:val="28"/>
          <w:szCs w:val="28"/>
          <w:highlight w:val="whit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Департамент</w:t>
      </w:r>
      <w:r>
        <w:rPr>
          <w:rFonts w:ascii="Times New Roman" w:hAnsi="Times New Roman"/>
          <w:sz w:val="28"/>
          <w:szCs w:val="28"/>
        </w:rPr>
        <w:t xml:space="preserve">ом строительства: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 нарушение абзаца 5 пункта 2 статьи 179 Бюджетного кодекса, подпункта 1 пункта 4.2 Порядка разработки, реализации и оценки эффективности государственных программ Чукотского автономного округа, утвержденного Постановлением Правительства Ч</w:t>
      </w:r>
      <w:r>
        <w:rPr>
          <w:rFonts w:ascii="Times New Roman" w:hAnsi="Times New Roman"/>
          <w:sz w:val="28"/>
          <w:szCs w:val="28"/>
          <w:highlight w:val="white"/>
        </w:rPr>
        <w:t xml:space="preserve">укотского автономного округа от 10 сентября 2013 года № 359, ресурсное обеспечение Государственной программы № 540 приведено в соответствие с показателями Сводной бюджетной росписи окружного бюджета отчетного финансового года с нарушением установленного ср</w:t>
      </w:r>
      <w:r>
        <w:rPr>
          <w:rFonts w:ascii="Times New Roman" w:hAnsi="Times New Roman"/>
          <w:sz w:val="28"/>
          <w:szCs w:val="28"/>
          <w:highlight w:val="white"/>
        </w:rPr>
        <w:t xml:space="preserve">ока – после 1 февраля 2026 года;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 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нарушение пункта 3 статьи 139 Бюджетного кодекса, пункта 2.6 Порядка </w:t>
      </w:r>
      <w:r>
        <w:rPr>
          <w:rFonts w:ascii="Times New Roman" w:hAnsi="Times New Roman"/>
          <w:sz w:val="28"/>
          <w:szCs w:val="28"/>
          <w:highlight w:val="white"/>
        </w:rPr>
        <w:t xml:space="preserve">пред</w:t>
      </w:r>
      <w:r>
        <w:rPr>
          <w:rFonts w:ascii="Times New Roman" w:hAnsi="Times New Roman"/>
          <w:sz w:val="28"/>
          <w:szCs w:val="28"/>
        </w:rPr>
        <w:t xml:space="preserve">оставления субсидий </w:t>
      </w:r>
      <w:r>
        <w:rPr>
          <w:rFonts w:ascii="Times New Roman" w:hAnsi="Times New Roman"/>
          <w:sz w:val="28"/>
          <w:szCs w:val="28"/>
          <w:highlight w:val="white"/>
        </w:rPr>
        <w:t xml:space="preserve">на обеспечение мероприятий  по развитию жилищного строительства, п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ринятое Департаментом 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строительства решение о предоставлении с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убсидии Администрации Провиденского МО не оформлено приказом Департамента; </w:t>
      </w:r>
      <w:r>
        <w:rPr>
          <w:rFonts w:ascii="Times New Roman" w:hAnsi="Times New Roman" w:eastAsia="Calibri"/>
          <w:sz w:val="28"/>
          <w:szCs w:val="28"/>
          <w:highlight w:val="white"/>
        </w:rPr>
      </w:r>
      <w:r>
        <w:rPr>
          <w:rFonts w:ascii="Times New Roman" w:hAnsi="Times New Roman" w:eastAsia="Calibri"/>
          <w:sz w:val="28"/>
          <w:szCs w:val="28"/>
          <w:highlight w:val="whit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 в нарушение подпункта 10 пункта 1 статьи 158 Бюджетного кодекса</w:t>
      </w:r>
      <w:r>
        <w:rPr>
          <w:rStyle w:val="4381"/>
          <w:rFonts w:ascii="Times New Roman" w:hAnsi="Times New Roman"/>
          <w:sz w:val="28"/>
          <w:szCs w:val="28"/>
          <w:highlight w:val="white"/>
          <w:vertAlign w:val="baseline"/>
        </w:rPr>
        <w:t xml:space="preserve">, </w:t>
      </w:r>
      <w:r>
        <w:rPr>
          <w:rFonts w:ascii="Times New Roman" w:hAnsi="Times New Roman"/>
          <w:sz w:val="28"/>
          <w:szCs w:val="28"/>
          <w:highlight w:val="white"/>
        </w:rPr>
        <w:t xml:space="preserve">Департаментом строительства, как главным распорядителем бюджетных </w:t>
      </w:r>
      <w:r>
        <w:rPr>
          <w:rFonts w:ascii="Times New Roman" w:hAnsi="Times New Roman"/>
          <w:sz w:val="28"/>
          <w:szCs w:val="28"/>
          <w:highlight w:val="white"/>
        </w:rPr>
        <w:t xml:space="preserve">средств, не в полной мере осуществлен контроль за действиями Администрации Провиденского муниципального округа по реализации на территории с. Сиреники мероприятий по развитию жилищного строительства и достижением установленных результатов при предоставлени</w:t>
      </w:r>
      <w:r>
        <w:rPr>
          <w:rFonts w:ascii="Times New Roman" w:hAnsi="Times New Roman"/>
          <w:sz w:val="28"/>
          <w:szCs w:val="28"/>
          <w:highlight w:val="white"/>
        </w:rPr>
        <w:t xml:space="preserve">и субсидии.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Возражения или замечания руководителей объектов контрольного мероприятия на результаты контрольного мероприятия:</w:t>
      </w:r>
      <w:r>
        <w:rPr>
          <w:rFonts w:ascii="Times New Roman" w:hAnsi="Times New Roman"/>
          <w:b/>
          <w:sz w:val="16"/>
          <w:szCs w:val="16"/>
        </w:rPr>
      </w:r>
      <w:r>
        <w:rPr>
          <w:rFonts w:ascii="Times New Roman" w:hAnsi="Times New Roman"/>
          <w:b/>
          <w:sz w:val="16"/>
          <w:szCs w:val="16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По результатам проведения контрольного мероприятия оформлено два акта:</w:t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 от 7 апреля 2026 года № 2026-1.12/7 на объекте – Администр</w:t>
      </w:r>
      <w:r>
        <w:rPr>
          <w:rFonts w:ascii="Times New Roman" w:hAnsi="Times New Roman"/>
          <w:sz w:val="28"/>
          <w:szCs w:val="28"/>
          <w:highlight w:val="white"/>
        </w:rPr>
        <w:t xml:space="preserve">ация Провиденского муниципального округа, без разногласий;</w:t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 от 7 апреля 2026 года № 2026-1.12/8 на объекте – Департамент строительства и жилищно-коммунального хозяйства Чукотского автономного округа, без разногласий.</w:t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/>
          <w:sz w:val="28"/>
          <w:szCs w:val="28"/>
          <w:highlight w:val="white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Выводы: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О</w:t>
      </w:r>
      <w:r>
        <w:rPr>
          <w:rFonts w:ascii="Times New Roman" w:hAnsi="Times New Roman" w:eastAsia="Calibri"/>
          <w:bCs/>
          <w:sz w:val="28"/>
          <w:szCs w:val="28"/>
        </w:rPr>
        <w:t xml:space="preserve">бъем бюджетных ассигнован</w:t>
      </w:r>
      <w:r>
        <w:rPr>
          <w:rFonts w:ascii="Times New Roman" w:hAnsi="Times New Roman" w:eastAsia="Calibri"/>
          <w:bCs/>
          <w:sz w:val="28"/>
          <w:szCs w:val="28"/>
        </w:rPr>
        <w:t xml:space="preserve">ий, предусмотренный бюджету Провиденского муниципального округа на реализацию мероприятий по развитию жилищного строительства в 2025-2027 годах составляет 517 001,7 тыс. рублей за счет средств окружного бюджета, из них с. Сиреники Провиденского муниципальн</w:t>
      </w:r>
      <w:r>
        <w:rPr>
          <w:rFonts w:ascii="Times New Roman" w:hAnsi="Times New Roman" w:eastAsia="Calibri"/>
          <w:bCs/>
          <w:sz w:val="28"/>
          <w:szCs w:val="28"/>
        </w:rPr>
        <w:t xml:space="preserve">ого округа – 238 718,5 тыс. рублей, в том числе: в 2025 году – 0,0 тыс. рублей, в 2026 году – 71 615,5 тыс. рублей, в 2027 году – 167 103,0 тыс. рублей.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  <w:t xml:space="preserve">Бюджетные ассигнования на реализацию мероприятий по развитию жилищного строительства бюджету Провиденск</w:t>
      </w:r>
      <w:r>
        <w:rPr>
          <w:rFonts w:ascii="Times New Roman" w:hAnsi="Times New Roman" w:eastAsia="Calibri"/>
          <w:bCs/>
          <w:sz w:val="28"/>
          <w:szCs w:val="28"/>
        </w:rPr>
        <w:t xml:space="preserve">ого муниципального округа Законом </w:t>
      </w:r>
      <w:r>
        <w:rPr>
          <w:rFonts w:ascii="Times New Roman" w:hAnsi="Times New Roman"/>
          <w:sz w:val="28"/>
          <w:szCs w:val="28"/>
        </w:rPr>
        <w:t xml:space="preserve">Чукотского автономного округа от 3 декабря 2025 года № 95-ОЗ «Об окружном бюджете на 2026 год и на плановый период 2027 и 2028 годов»</w:t>
      </w:r>
      <w:r>
        <w:rPr>
          <w:rFonts w:ascii="Times New Roman" w:hAnsi="Times New Roman" w:eastAsia="Calibri"/>
          <w:bCs/>
          <w:sz w:val="28"/>
          <w:szCs w:val="28"/>
        </w:rPr>
        <w:t xml:space="preserve"> не предусмотрены (в редакции от 27 февраля 2026 года).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  <w:t xml:space="preserve">2. Реализация мероприятий по разв</w:t>
      </w:r>
      <w:r>
        <w:rPr>
          <w:rFonts w:ascii="Times New Roman" w:hAnsi="Times New Roman" w:eastAsia="Calibri"/>
          <w:bCs/>
          <w:sz w:val="28"/>
          <w:szCs w:val="28"/>
        </w:rPr>
        <w:t xml:space="preserve">итию жилищного  строительства осуществлялось в виде предоставления субсидий бюджетам муниципальных образований Чукотского автономного округа </w:t>
      </w:r>
      <w:r>
        <w:rPr>
          <w:rFonts w:ascii="Times New Roman" w:hAnsi="Times New Roman" w:eastAsia="Calibri"/>
          <w:sz w:val="28"/>
          <w:szCs w:val="28"/>
        </w:rPr>
        <w:t xml:space="preserve">на обеспечение мероприятий по развитию жилищного строительства.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Одним из получателей субсидии в 2025 году являлась </w:t>
      </w:r>
      <w:r>
        <w:rPr>
          <w:rFonts w:ascii="Times New Roman" w:hAnsi="Times New Roman" w:eastAsia="Calibri"/>
          <w:sz w:val="28"/>
          <w:szCs w:val="28"/>
        </w:rPr>
        <w:t xml:space="preserve">Администрация Провиденского муниципального округа.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3. Департаментом строительства и жилищно-коммунального хозяйства Чукотского автономного округа с Администрацией Провиденского муниципального округа заключено </w:t>
      </w:r>
      <w:r>
        <w:rPr>
          <w:rFonts w:ascii="Times New Roman" w:hAnsi="Times New Roman" w:eastAsia="Calibri"/>
          <w:sz w:val="28"/>
        </w:rPr>
        <w:t xml:space="preserve">Соглашение о предоставлении субсидии из окружно</w:t>
      </w:r>
      <w:r>
        <w:rPr>
          <w:rFonts w:ascii="Times New Roman" w:hAnsi="Times New Roman" w:eastAsia="Calibri"/>
          <w:sz w:val="28"/>
        </w:rPr>
        <w:t xml:space="preserve">го бюджета бюджету Провиденского муниципального округа на обеспечение мероприятий по развитию жилищного строительства </w:t>
      </w:r>
      <w:r>
        <w:rPr>
          <w:rFonts w:ascii="Times New Roman" w:hAnsi="Times New Roman" w:eastAsia="Calibri"/>
          <w:sz w:val="28"/>
        </w:rPr>
        <w:t xml:space="preserve">от 11 февраля 2025 года № 25 на общую сумму 240 876,0 тыс. рублей (в том числе: 240 635,1 тыс. рублей – средства окружного бюджета,  240,9</w:t>
      </w:r>
      <w:r>
        <w:rPr>
          <w:rFonts w:ascii="Times New Roman" w:hAnsi="Times New Roman" w:eastAsia="Calibri"/>
          <w:sz w:val="28"/>
        </w:rPr>
        <w:t xml:space="preserve"> тыс. рублей – средства местного бюджета), из них: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 xml:space="preserve">- в 2025 году – 72 262,8 тыс. рублей (в том числе: 72 190,5 тыс. рублей – средства окружного бюджета, 72,3 тыс. рублей – средства местного бюджета); 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 xml:space="preserve">- в 2026 году – 168 613,2 тыс. рублей (в том числе: 168</w:t>
      </w:r>
      <w:r>
        <w:rPr>
          <w:rFonts w:ascii="Times New Roman" w:hAnsi="Times New Roman" w:eastAsia="Calibri"/>
          <w:sz w:val="28"/>
        </w:rPr>
        <w:t xml:space="preserve"> 444,6 тыс. рублей – средства окружного бюджета, 168,6 тыс. рублей – средства местного бюджета); 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eastAsia="Calibri"/>
          <w:sz w:val="28"/>
        </w:rPr>
        <w:t xml:space="preserve">- в 2027 году – 0,0 тыс. рублей.</w:t>
      </w:r>
      <w:r/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 xml:space="preserve">В рамках реализации соглашения запланир</w:t>
      </w:r>
      <w:r>
        <w:rPr>
          <w:rFonts w:ascii="Times New Roman" w:hAnsi="Times New Roman" w:eastAsia="Calibri"/>
          <w:sz w:val="28"/>
          <w:highlight w:val="white"/>
        </w:rPr>
        <w:t xml:space="preserve">овано приобретение 12 жилых помещений в жилых домах на территории с. </w:t>
      </w:r>
      <w:r>
        <w:rPr>
          <w:rFonts w:ascii="Times New Roman" w:hAnsi="Times New Roman" w:eastAsia="Calibri"/>
          <w:sz w:val="28"/>
        </w:rPr>
        <w:t xml:space="preserve">Сиреники общей площадью 669,1 кв. м в срок до 31 декабря 2026 года.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4. Дополнительным соглашением от 29 августа 2025 года № 2 перераспределен объем бюджетных ассигнований Администрации Провиденского МО на приобретение жилых помещений в с. Сиреники с 2025-2</w:t>
      </w:r>
      <w:r>
        <w:rPr>
          <w:rFonts w:ascii="Times New Roman" w:hAnsi="Times New Roman" w:eastAsia="Calibri"/>
          <w:sz w:val="28"/>
          <w:szCs w:val="28"/>
        </w:rPr>
        <w:t xml:space="preserve">026 годов на 2026-2027 годы на общую сумму 240 876,0 тыс. рублей (в том числе: 240 746,8,0 тыс. рублей – средства окружного бюджета, 129,2 тыс. рублей – средства местного бюджета), из них: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- в 2025 году – 0,0 тыс. рублей;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- в 2026 году – 124 095,6 тыс. р</w:t>
      </w:r>
      <w:r>
        <w:rPr>
          <w:rFonts w:ascii="Times New Roman" w:hAnsi="Times New Roman" w:eastAsia="Calibri"/>
          <w:sz w:val="28"/>
          <w:szCs w:val="28"/>
        </w:rPr>
        <w:t xml:space="preserve">ублей (в том числе: 124 083,2 тыс. рублей – средства окружного бюджета, 12,4 тыс. рублей – средства местного бюджета);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- в 2027 году – 116 780,4 тыс. рублей (в том числе: 116 663,6 тыс. рублей – средства окружного бюджета, 116,8 тыс. рублей – средства мес</w:t>
      </w:r>
      <w:r>
        <w:rPr>
          <w:rFonts w:ascii="Times New Roman" w:hAnsi="Times New Roman" w:eastAsia="Calibri"/>
          <w:sz w:val="28"/>
          <w:szCs w:val="28"/>
        </w:rPr>
        <w:t xml:space="preserve">тного бюджета).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Дополнительным соглашением от 29 августа 2025 года № 2 изменен срок приобретения 12 жилых помещений в жилых домах на территории с. Сиреники общей площадью 669,1 </w:t>
      </w:r>
      <w:r>
        <w:rPr>
          <w:rFonts w:ascii="Times New Roman" w:hAnsi="Times New Roman" w:eastAsia="Calibri"/>
          <w:sz w:val="28"/>
          <w:szCs w:val="28"/>
        </w:rPr>
        <w:t xml:space="preserve">кв.м</w:t>
      </w:r>
      <w:r>
        <w:rPr>
          <w:rFonts w:ascii="Times New Roman" w:hAnsi="Times New Roman" w:eastAsia="Calibri"/>
          <w:sz w:val="28"/>
          <w:szCs w:val="28"/>
        </w:rPr>
        <w:t xml:space="preserve">  до 31 декабря 2027 года.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 xml:space="preserve">5. В редакции Дополнительного соглашения от 17 октября 2025 года № 3 объем бюджетных ассигнований составил 238 957,5 тыс. рублей </w:t>
      </w:r>
      <w:r>
        <w:rPr>
          <w:rFonts w:ascii="Times New Roman" w:hAnsi="Times New Roman" w:eastAsia="Calibri"/>
          <w:sz w:val="28"/>
        </w:rPr>
        <w:br/>
        <w:t xml:space="preserve">(в том числе: 238 718,5 тыс. рублей – средства окружного бюджета, 239,0 тыс. рублей – средства местного бюджета), из них: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 xml:space="preserve">- в </w:t>
      </w:r>
      <w:r>
        <w:rPr>
          <w:rFonts w:ascii="Times New Roman" w:hAnsi="Times New Roman" w:eastAsia="Calibri"/>
          <w:sz w:val="28"/>
        </w:rPr>
        <w:t xml:space="preserve">2025 году – 0,0 тыс. рублей;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 xml:space="preserve">- в 2026 году – 71 687,2 тыс. рублей (в том числе: 71 615,5 тыс. рублей – средства окружного бюджета, 71,7 тыс. рублей – средства местного бюджета); 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 xml:space="preserve">- в 2027 году – 167 270,3 тыс. рублей (в том числе: 167 103,0 тыс. рублей  – </w:t>
      </w:r>
      <w:r>
        <w:rPr>
          <w:rFonts w:ascii="Times New Roman" w:hAnsi="Times New Roman" w:eastAsia="Calibri"/>
          <w:sz w:val="28"/>
        </w:rPr>
        <w:t xml:space="preserve">средства окружного бюджета, 167,3 тыс. рублей – средства местного бюджета).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 xml:space="preserve">Дополнительным Соглашением от 17 октября 2025 года № 3 предусмотрено строительство 10 жилых помещений в с. Сиреники общей площадью 567,1 </w:t>
      </w:r>
      <w:r>
        <w:rPr>
          <w:rFonts w:ascii="Times New Roman" w:hAnsi="Times New Roman" w:eastAsia="Calibri"/>
          <w:sz w:val="28"/>
        </w:rPr>
        <w:t xml:space="preserve">кв.м</w:t>
      </w:r>
      <w:r>
        <w:rPr>
          <w:rFonts w:ascii="Times New Roman" w:hAnsi="Times New Roman" w:eastAsia="Calibri"/>
          <w:sz w:val="28"/>
        </w:rPr>
        <w:t xml:space="preserve"> до 31 декабря 2027 года.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</w:rPr>
        <w:t xml:space="preserve">6. В целях ре</w:t>
      </w:r>
      <w:r>
        <w:rPr>
          <w:rFonts w:ascii="Times New Roman" w:hAnsi="Times New Roman" w:eastAsia="Calibri"/>
          <w:sz w:val="28"/>
        </w:rPr>
        <w:t xml:space="preserve">ализации мероприятия, предусмотренного соглашением, Администрацией Провиденского муниципального округа </w:t>
      </w:r>
      <w:r>
        <w:rPr>
          <w:rFonts w:ascii="Times New Roman" w:hAnsi="Times New Roman"/>
          <w:sz w:val="28"/>
          <w:szCs w:val="28"/>
        </w:rPr>
        <w:t xml:space="preserve">в ЕИС 21 марта </w:t>
      </w:r>
      <w:r>
        <w:rPr>
          <w:rFonts w:ascii="Times New Roman" w:hAnsi="Times New Roman"/>
          <w:sz w:val="28"/>
          <w:szCs w:val="28"/>
        </w:rPr>
        <w:t xml:space="preserve">2025 года</w:t>
      </w:r>
      <w:r>
        <w:rPr>
          <w:rFonts w:ascii="Times New Roman" w:hAnsi="Times New Roman" w:eastAsia="Calibri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размещено извещение о проведении аукциона в электронной форме на приобретение 12 жилых помещений в жилых домах на территории с. </w:t>
      </w:r>
      <w:r>
        <w:rPr>
          <w:rFonts w:ascii="Times New Roman" w:hAnsi="Times New Roman"/>
          <w:sz w:val="28"/>
          <w:szCs w:val="28"/>
        </w:rPr>
        <w:t xml:space="preserve">Сиреники для переселения граждан из аварийного жилищного фонда. По окончании срока подачи заявок не подано ни одной заявки. Электронный аукцион признан несостоявшимся.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pStyle w:val="4379"/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 Повторную закупку по определению поставщика (подрядчика, исполнителя) для заключения </w:t>
      </w:r>
      <w:r>
        <w:rPr>
          <w:rFonts w:ascii="Times New Roman" w:hAnsi="Times New Roman"/>
          <w:sz w:val="28"/>
          <w:szCs w:val="28"/>
        </w:rPr>
        <w:t xml:space="preserve">муниципального контракта на приобретение жилых помещений на территории с. Сиреники Администрация Провиденского муниципального округа не осуществляла в связи с разработкой нового технического задания, предусматривающего строительство жилого дома в с. Сирени</w:t>
      </w:r>
      <w:r>
        <w:rPr>
          <w:rFonts w:ascii="Times New Roman" w:hAnsi="Times New Roman"/>
          <w:sz w:val="28"/>
          <w:szCs w:val="28"/>
        </w:rPr>
        <w:t xml:space="preserve">ки, а в дальнейшем по причине отсутствия в окружном бюджете на 2026 год и на плановый период </w:t>
      </w:r>
      <w:r>
        <w:rPr>
          <w:rFonts w:ascii="Times New Roman" w:hAnsi="Times New Roman"/>
          <w:sz w:val="28"/>
          <w:szCs w:val="28"/>
        </w:rPr>
        <w:t xml:space="preserve">2027 – 2028 годов бюджетных ассигнований на обеспечение мероприятий по развитию жилищного строительства бюджету Провиденского муниципального округа.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8. Администрац</w:t>
      </w:r>
      <w:r>
        <w:rPr>
          <w:rFonts w:ascii="Times New Roman" w:hAnsi="Times New Roman"/>
          <w:sz w:val="28"/>
          <w:szCs w:val="28"/>
          <w:highlight w:val="white"/>
        </w:rPr>
        <w:t xml:space="preserve">ией Провиденского муниципального округа подготовлено 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задание на проектирование в целях строительства объекта: 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«10-ти квартирный жилой дом блокированной застройки в с. Сиреники, Провиденского муниципального округа Чукотского АО», с  </w:t>
      </w:r>
      <w:r>
        <w:rPr>
          <w:rFonts w:ascii="Times New Roman" w:hAnsi="Times New Roman"/>
          <w:sz w:val="28"/>
          <w:szCs w:val="28"/>
          <w:highlight w:val="white"/>
        </w:rPr>
        <w:t xml:space="preserve">площадью жилых помещени</w:t>
      </w:r>
      <w:r>
        <w:rPr>
          <w:rFonts w:ascii="Times New Roman" w:hAnsi="Times New Roman"/>
          <w:sz w:val="28"/>
          <w:szCs w:val="28"/>
          <w:highlight w:val="white"/>
        </w:rPr>
        <w:t xml:space="preserve">й 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567,1 кв. м, </w:t>
      </w:r>
      <w:r>
        <w:rPr>
          <w:rFonts w:ascii="Times New Roman" w:hAnsi="Times New Roman"/>
          <w:sz w:val="28"/>
          <w:szCs w:val="28"/>
          <w:highlight w:val="white"/>
        </w:rPr>
        <w:t xml:space="preserve">вместо ранее предусмотренного выкупа 12 жилых помещений общей площадью 669,1 кв. м.</w:t>
      </w:r>
      <w:r>
        <w:rPr>
          <w:highlight w:val="white"/>
        </w:rPr>
      </w:r>
      <w:r>
        <w:rPr>
          <w:highlight w:val="white"/>
        </w:rPr>
      </w:r>
    </w:p>
    <w:p>
      <w:pPr>
        <w:pStyle w:val="4379"/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 В проверяемом периоде средства окружного бюджета в рамках заключенного соглашения Администрации Провиденского муниципального округа не предоставлялись вви</w:t>
      </w:r>
      <w:r>
        <w:rPr>
          <w:rFonts w:ascii="Times New Roman" w:hAnsi="Times New Roman"/>
          <w:sz w:val="28"/>
          <w:szCs w:val="28"/>
        </w:rPr>
        <w:t xml:space="preserve">ду отсутствия заключенного муниципального контракта.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379"/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 В 2025 году мероприятие по приобретению (строительству)</w:t>
      </w:r>
      <w:r>
        <w:rPr>
          <w:rFonts w:ascii="Times New Roman" w:hAnsi="Times New Roman"/>
          <w:bCs/>
          <w:sz w:val="28"/>
          <w:szCs w:val="28"/>
        </w:rPr>
        <w:t xml:space="preserve"> жилых помещений на территории с. Сиреники для переселения граждан из аварийного жилищного фонда </w:t>
      </w:r>
      <w:r>
        <w:rPr>
          <w:rFonts w:ascii="Times New Roman" w:hAnsi="Times New Roman"/>
          <w:sz w:val="28"/>
          <w:szCs w:val="28"/>
        </w:rPr>
        <w:t xml:space="preserve">Администрацией Провиденского муниципального окр</w:t>
      </w:r>
      <w:r>
        <w:rPr>
          <w:rFonts w:ascii="Times New Roman" w:hAnsi="Times New Roman"/>
          <w:sz w:val="28"/>
          <w:szCs w:val="28"/>
        </w:rPr>
        <w:t xml:space="preserve">уга не реализовано.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379"/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 Соглашение </w:t>
      </w:r>
      <w:r>
        <w:rPr>
          <w:rFonts w:ascii="Times New Roman" w:hAnsi="Times New Roman" w:eastAsia="Calibri"/>
          <w:sz w:val="28"/>
        </w:rPr>
        <w:t xml:space="preserve">о предоставлении субсидии из окружного бюджета бюджету Провиденского муниципального округа на обеспечение мероприятий по развитию жилищного строительства от 11 февраля 2025 года № 25 </w:t>
      </w:r>
      <w:r>
        <w:rPr>
          <w:rFonts w:ascii="Times New Roman" w:hAnsi="Times New Roman"/>
          <w:sz w:val="28"/>
          <w:szCs w:val="28"/>
        </w:rPr>
        <w:t xml:space="preserve">расторгнуто 2</w:t>
      </w:r>
      <w:r>
        <w:rPr>
          <w:rFonts w:ascii="Times New Roman" w:hAnsi="Times New Roman"/>
          <w:sz w:val="28"/>
          <w:szCs w:val="28"/>
          <w:highlight w:val="white"/>
        </w:rPr>
        <w:t xml:space="preserve">0 февраля 2026 года.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379"/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12. </w:t>
      </w:r>
      <w:r>
        <w:rPr>
          <w:rFonts w:ascii="Times New Roman" w:hAnsi="Times New Roman"/>
          <w:sz w:val="28"/>
          <w:szCs w:val="28"/>
        </w:rPr>
        <w:t xml:space="preserve">В ходе проверки, на объектах контрольного мероприятия</w:t>
      </w:r>
      <w:r>
        <w:rPr>
          <w:rFonts w:ascii="Times New Roman" w:hAnsi="Times New Roman" w:eastAsia="Calibri"/>
          <w:sz w:val="28"/>
          <w:szCs w:val="28"/>
        </w:rPr>
        <w:t xml:space="preserve"> установлены пять нарушений 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бюджетного законодательства, в том числе: 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  <w:highlight w:val="yellow"/>
        </w:rPr>
      </w:pPr>
      <w:r>
        <w:rPr>
          <w:rFonts w:ascii="Times New Roman" w:hAnsi="Times New Roman" w:eastAsia="Calibri"/>
          <w:sz w:val="28"/>
          <w:szCs w:val="28"/>
          <w:highlight w:val="white"/>
        </w:rPr>
        <w:t xml:space="preserve">- статьи 21 Бюджетного кодекса, пункта 19 Приказа Министерства финансов Российской Федерации от 24 мая 2022 года № 82н «О Порядке формирования и применения кодов бюджетной классификации Российской Федерации, их структуре и принципах назначения», Администра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цией Провиденского МО не обеспечена привязка наименования муниципальной программы – </w:t>
      </w:r>
      <w:r>
        <w:rPr>
          <w:rFonts w:ascii="Times New Roman" w:hAnsi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Calibri"/>
          <w:bCs/>
          <w:sz w:val="28"/>
          <w:szCs w:val="28"/>
          <w:highlight w:val="white"/>
          <w:shd w:val="clear" w:color="ffffff" w:fill="ffffff"/>
        </w:rPr>
        <w:t xml:space="preserve">Региональный проект «Жилье» (Субсидии на обеспечение мероприятий по развитию жилищного строительства)» 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к наименованию целевой статьи расходов бюджета – «Р</w:t>
      </w:r>
      <w:r>
        <w:rPr>
          <w:rFonts w:ascii="Times New Roman" w:hAnsi="Times New Roman"/>
          <w:sz w:val="28"/>
          <w:szCs w:val="28"/>
          <w:highlight w:val="white"/>
        </w:rPr>
        <w:t xml:space="preserve">асходы на обеспеч</w:t>
      </w:r>
      <w:r>
        <w:rPr>
          <w:rFonts w:ascii="Times New Roman" w:hAnsi="Times New Roman"/>
          <w:sz w:val="28"/>
          <w:szCs w:val="28"/>
          <w:highlight w:val="white"/>
        </w:rPr>
        <w:t xml:space="preserve">ение мероприятий </w:t>
      </w:r>
      <w:r>
        <w:rPr>
          <w:rFonts w:ascii="Times New Roman" w:hAnsi="Times New Roman"/>
          <w:sz w:val="28"/>
          <w:szCs w:val="28"/>
          <w:highlight w:val="white"/>
        </w:rPr>
        <w:t xml:space="preserve">по развитию жилищного строительства (Капитальные вложения в объекты государственной (муниципальной) собственности)»;</w:t>
      </w:r>
      <w:r>
        <w:rPr>
          <w:rFonts w:ascii="Times New Roman" w:hAnsi="Times New Roman" w:eastAsia="Calibri"/>
          <w:sz w:val="28"/>
          <w:szCs w:val="28"/>
          <w:highlight w:val="yellow"/>
        </w:rPr>
      </w:r>
      <w:r>
        <w:rPr>
          <w:rFonts w:ascii="Times New Roman" w:hAnsi="Times New Roman" w:eastAsia="Calibri"/>
          <w:sz w:val="28"/>
          <w:szCs w:val="28"/>
          <w:highlight w:val="yellow"/>
        </w:rPr>
      </w:r>
    </w:p>
    <w:p>
      <w:pPr>
        <w:pStyle w:val="4379"/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 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статьи 139 Бюджетного кодекса, Порядка </w:t>
      </w:r>
      <w:r>
        <w:rPr>
          <w:rFonts w:ascii="Times New Roman" w:hAnsi="Times New Roman"/>
          <w:sz w:val="28"/>
          <w:szCs w:val="28"/>
          <w:highlight w:val="white"/>
        </w:rPr>
        <w:t xml:space="preserve">пред</w:t>
      </w:r>
      <w:r>
        <w:rPr>
          <w:rFonts w:ascii="Times New Roman" w:hAnsi="Times New Roman"/>
          <w:sz w:val="28"/>
          <w:szCs w:val="28"/>
        </w:rPr>
        <w:t xml:space="preserve">оставления субсидий </w:t>
      </w:r>
      <w:r>
        <w:rPr>
          <w:rFonts w:ascii="Times New Roman" w:hAnsi="Times New Roman"/>
          <w:sz w:val="28"/>
          <w:szCs w:val="28"/>
          <w:highlight w:val="white"/>
        </w:rPr>
        <w:t xml:space="preserve">на обеспечение мероприятий по развитию жилищного строител</w:t>
      </w:r>
      <w:r>
        <w:rPr>
          <w:rFonts w:ascii="Times New Roman" w:hAnsi="Times New Roman"/>
          <w:sz w:val="28"/>
          <w:szCs w:val="28"/>
          <w:highlight w:val="white"/>
        </w:rPr>
        <w:t xml:space="preserve">ьства, п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ринятое Департаментом строительства решение о предоставлении субсидии Администрации Провиденского МО не оформлено приказом Департамента; 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  <w:highlight w:val="white"/>
        </w:rPr>
        <w:t xml:space="preserve">- статьи 179 Бюджетного кодекса, </w:t>
      </w:r>
      <w:r>
        <w:rPr>
          <w:rFonts w:ascii="Times New Roman" w:hAnsi="Times New Roman"/>
          <w:sz w:val="28"/>
          <w:szCs w:val="28"/>
          <w:highlight w:val="white"/>
        </w:rPr>
        <w:t xml:space="preserve">Порядка разработки, реализации и оценки эффективности муниципальных программ </w:t>
      </w:r>
      <w:r>
        <w:rPr>
          <w:rFonts w:ascii="Times New Roman" w:hAnsi="Times New Roman"/>
          <w:sz w:val="28"/>
          <w:szCs w:val="28"/>
          <w:highlight w:val="white"/>
        </w:rPr>
        <w:t xml:space="preserve">Провиденского МО</w:t>
      </w:r>
      <w:r>
        <w:rPr>
          <w:rStyle w:val="4381"/>
          <w:rFonts w:ascii="Times New Roman" w:hAnsi="Times New Roman"/>
          <w:sz w:val="28"/>
          <w:szCs w:val="28"/>
          <w:highlight w:val="white"/>
          <w:vertAlign w:val="baseline"/>
        </w:rPr>
        <w:t xml:space="preserve">, 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Администрацией Провиденского МО, не обеспечено приведение Муниципальной программы </w:t>
      </w:r>
      <w:r>
        <w:rPr>
          <w:rFonts w:ascii="Times New Roman" w:hAnsi="Times New Roman" w:eastAsia="Calibri"/>
          <w:bCs/>
          <w:sz w:val="28"/>
          <w:szCs w:val="28"/>
        </w:rPr>
        <w:t xml:space="preserve">«Переселение граждан из аварийного жилищного фонда Провиденского МО»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 в соответствие с Решениями о бюджете Провиденского МО на 2025, 2026 годы в установленны</w:t>
      </w:r>
      <w:r>
        <w:rPr>
          <w:rFonts w:ascii="Times New Roman" w:hAnsi="Times New Roman" w:eastAsia="Calibri"/>
          <w:sz w:val="28"/>
          <w:szCs w:val="28"/>
          <w:highlight w:val="white"/>
        </w:rPr>
        <w:t xml:space="preserve">й срок;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 статьи 179 Бюджетного кодекса, Порядка разработки, реализации и оценки эффективности государственных программ Чукотского автономного округа, ресурсное обеспечение Государственной программы «Развитие жилищного строительства в Чукотском автономном </w:t>
      </w:r>
      <w:r>
        <w:rPr>
          <w:rFonts w:ascii="Times New Roman" w:hAnsi="Times New Roman"/>
          <w:sz w:val="28"/>
          <w:szCs w:val="28"/>
          <w:highlight w:val="white"/>
        </w:rPr>
        <w:t xml:space="preserve">округе»</w:t>
      </w:r>
      <w:r>
        <w:rPr>
          <w:rFonts w:ascii="Times New Roman" w:hAnsi="Times New Roman" w:eastAsia="Calibri"/>
          <w:bCs/>
          <w:sz w:val="28"/>
          <w:szCs w:val="28"/>
          <w:highlight w:val="white"/>
        </w:rPr>
        <w:t xml:space="preserve">  </w:t>
      </w:r>
      <w:r>
        <w:rPr>
          <w:rFonts w:ascii="Times New Roman" w:hAnsi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/>
          <w:sz w:val="28"/>
          <w:szCs w:val="28"/>
          <w:highlight w:val="white"/>
        </w:rPr>
        <w:t xml:space="preserve">риведено в соответствие с показателями Сводной бюджетной росписи окружного бюджета отчетного финансового года с нарушением установленного срока;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4379"/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 в нарушение статьи 158 Бюджетного кодекса</w:t>
      </w:r>
      <w:r>
        <w:rPr>
          <w:rStyle w:val="4381"/>
          <w:rFonts w:ascii="Times New Roman" w:hAnsi="Times New Roman"/>
          <w:sz w:val="28"/>
          <w:szCs w:val="28"/>
          <w:highlight w:val="white"/>
          <w:vertAlign w:val="baseline"/>
        </w:rPr>
        <w:t xml:space="preserve">, </w:t>
      </w:r>
      <w:r>
        <w:rPr>
          <w:rFonts w:ascii="Times New Roman" w:hAnsi="Times New Roman"/>
          <w:sz w:val="28"/>
          <w:szCs w:val="28"/>
          <w:highlight w:val="white"/>
        </w:rPr>
        <w:t xml:space="preserve">Департаментом строительства, как главным распорядителем</w:t>
      </w:r>
      <w:r>
        <w:rPr>
          <w:rFonts w:ascii="Times New Roman" w:hAnsi="Times New Roman"/>
          <w:sz w:val="28"/>
          <w:szCs w:val="28"/>
          <w:highlight w:val="white"/>
        </w:rPr>
        <w:t xml:space="preserve"> бюджетных средств, не в полной мере осуществлен контроль за действиями Администрации Провиденского муниципального округа по реализации на территории с. Сиреники мероприятий по развитию жилищного строительства и достижению установленных результатов при пре</w:t>
      </w:r>
      <w:r>
        <w:rPr>
          <w:rFonts w:ascii="Times New Roman" w:hAnsi="Times New Roman"/>
          <w:sz w:val="28"/>
          <w:szCs w:val="28"/>
          <w:highlight w:val="white"/>
        </w:rPr>
        <w:t xml:space="preserve">доставлении субсидии.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13. П</w:t>
      </w:r>
      <w:r>
        <w:rPr>
          <w:rFonts w:ascii="Times New Roman" w:hAnsi="Times New Roman"/>
          <w:sz w:val="28"/>
          <w:szCs w:val="28"/>
          <w:highlight w:val="white"/>
        </w:rPr>
        <w:t xml:space="preserve">о результатам контрольного мероприятия Счетная палата Чукотского автономного округа приходит к выводу, что Администрацией Провиденского муниципального округа не приняты своевременные и достаточные меры, направленные на выполнени</w:t>
      </w:r>
      <w:r>
        <w:rPr>
          <w:rFonts w:ascii="Times New Roman" w:hAnsi="Times New Roman"/>
          <w:sz w:val="28"/>
          <w:szCs w:val="28"/>
          <w:highlight w:val="white"/>
        </w:rPr>
        <w:t xml:space="preserve">е мероприятия по развитию жилищного строительства в с. Сиреники в рамках заключенного соглашения.</w:t>
      </w:r>
      <w:r>
        <w:rPr>
          <w:rFonts w:ascii="Times New Roman" w:hAnsi="Times New Roman"/>
          <w:sz w:val="28"/>
          <w:szCs w:val="28"/>
          <w:highlight w:val="green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Извещение об осуществлении закупки на «Приобретение 12 жилых помещений в с. Сиреники для переселения граждан из аварийного жилищного фонда»</w:t>
      </w:r>
      <w:r>
        <w:rPr>
          <w:rFonts w:ascii="Times New Roman" w:hAnsi="Times New Roman"/>
          <w:sz w:val="28"/>
          <w:szCs w:val="28"/>
        </w:rPr>
        <w:t xml:space="preserve"> размещено Администрацией Провиденского муниципального округа в ЕИС 21 марта 2025 года (срок, превышающий три месяца со дня доведения лимитов бюджетных обязательств – 5 декабря 2024  года).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Как следует из пояснений Администрации Провиденского МО, проведение закупки по определению поставщика (подрядчика, исполнителя) на приобретение </w:t>
      </w:r>
      <w:r>
        <w:rPr>
          <w:rFonts w:ascii="Times New Roman" w:hAnsi="Times New Roman"/>
          <w:bCs/>
          <w:sz w:val="28"/>
          <w:szCs w:val="28"/>
        </w:rPr>
        <w:t xml:space="preserve">12 жилых помещений в жилых домах на территории с. Сиреники для переселения граждан из аварийного жилищного фонда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 марте 2025 года осуществлялось после заключения Соглашения 11 февраля 2025 года.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 этом, в соответствии с нормами статей 72, 219 Бюджетного кодекса, Администрация Провиденского МО на основании доведенных </w:t>
      </w:r>
      <w:r>
        <w:rPr>
          <w:rFonts w:ascii="Times New Roman" w:hAnsi="Times New Roman"/>
          <w:sz w:val="28"/>
          <w:szCs w:val="28"/>
        </w:rPr>
        <w:t xml:space="preserve">лимитов бюджетных обязательств на 2025 год и п</w:t>
      </w:r>
      <w:r>
        <w:rPr>
          <w:rFonts w:ascii="Times New Roman" w:hAnsi="Times New Roman"/>
          <w:sz w:val="28"/>
          <w:szCs w:val="28"/>
        </w:rPr>
        <w:t xml:space="preserve">лановый период 2026 – 2027 годов, имела возможность осуществлять процедуры по определению поставщика (подрядчика, исполнителя) до заключения соглашения (в пределах доведенных лимитов бюджетных обязательств).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связи с непроведением повторной закупки по оп</w:t>
      </w:r>
      <w:r>
        <w:rPr>
          <w:rFonts w:ascii="Times New Roman" w:hAnsi="Times New Roman"/>
          <w:sz w:val="28"/>
          <w:szCs w:val="28"/>
        </w:rPr>
        <w:t xml:space="preserve">ределению поставщика (подрядчика, исполнителя) для заключения муниципального контракта, Администрацией Провиденского МО минимизированы возможности по заключению муниципального контракта в 2025 году, что привело к невыполнению реализации мероприятия по разв</w:t>
      </w:r>
      <w:r>
        <w:rPr>
          <w:rFonts w:ascii="Times New Roman" w:hAnsi="Times New Roman"/>
          <w:sz w:val="28"/>
          <w:szCs w:val="28"/>
        </w:rPr>
        <w:t xml:space="preserve">итию жилищного строительства в с. Сиреники.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shd w:val="clear" w:color="auto" w:fill="ffffff"/>
        <w:tabs>
          <w:tab w:val="left" w:pos="709" w:leader="none"/>
        </w:tabs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Предложения (рекомендации):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outlineLvl w:val="5"/>
      </w:pPr>
      <w:r>
        <w:rPr>
          <w:rFonts w:ascii="Times New Roman" w:hAnsi="Times New Roman"/>
          <w:sz w:val="28"/>
          <w:szCs w:val="28"/>
        </w:rPr>
        <w:t xml:space="preserve">1. Отчет о результатах контрольного мероприятия «Проверка реализации мероприятий по развитию жилищного строительства в с. Сиреники в рамках Государственной программы «Развитие жилищно</w:t>
      </w:r>
      <w:r>
        <w:rPr>
          <w:rFonts w:ascii="Times New Roman" w:hAnsi="Times New Roman"/>
          <w:sz w:val="28"/>
          <w:szCs w:val="28"/>
        </w:rPr>
        <w:t xml:space="preserve">го строительства в Чукотском автономном округе» в 2025 году и истекшем периоде 2026 года» направить в Думу и Губернатору Чукотского автономного округа.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outlineLvl w:val="5"/>
      </w:pPr>
      <w:r>
        <w:rPr>
          <w:rFonts w:ascii="Times New Roman" w:hAnsi="Times New Roman"/>
          <w:sz w:val="28"/>
          <w:szCs w:val="28"/>
        </w:rPr>
        <w:t xml:space="preserve">2. Направить </w:t>
      </w:r>
      <w:r>
        <w:rPr>
          <w:rFonts w:ascii="Times New Roman" w:hAnsi="Times New Roman"/>
          <w:sz w:val="28"/>
          <w:szCs w:val="28"/>
          <w:highlight w:val="white"/>
        </w:rPr>
        <w:t xml:space="preserve">представление </w:t>
      </w:r>
      <w:r>
        <w:rPr>
          <w:rFonts w:ascii="Times New Roman" w:hAnsi="Times New Roman"/>
          <w:sz w:val="28"/>
          <w:szCs w:val="28"/>
        </w:rPr>
        <w:t xml:space="preserve">Счетной палаты Чукотского автономного округа в адрес исполняющего обязанности</w:t>
      </w:r>
      <w:r>
        <w:rPr>
          <w:rFonts w:ascii="Times New Roman" w:hAnsi="Times New Roman"/>
          <w:sz w:val="28"/>
          <w:szCs w:val="28"/>
        </w:rPr>
        <w:t xml:space="preserve"> Главы </w:t>
      </w:r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Провиденского муниципального округа с предложением: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outlineLvl w:val="5"/>
      </w:pPr>
      <w:r>
        <w:rPr>
          <w:rFonts w:ascii="Times New Roman" w:hAnsi="Times New Roman"/>
          <w:sz w:val="28"/>
          <w:szCs w:val="28"/>
        </w:rPr>
        <w:t xml:space="preserve">- привести Муниципальную программу </w:t>
      </w:r>
      <w:r>
        <w:rPr>
          <w:rFonts w:ascii="Times New Roman" w:hAnsi="Times New Roman" w:eastAsia="Calibri"/>
          <w:bCs/>
          <w:sz w:val="28"/>
          <w:szCs w:val="28"/>
        </w:rPr>
        <w:t xml:space="preserve">«Переселение граждан из аварийного жилищного фонда Провиденского муниципального округа», утвержденную </w:t>
      </w:r>
      <w:r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bCs/>
          <w:sz w:val="28"/>
          <w:szCs w:val="28"/>
        </w:rPr>
        <w:t xml:space="preserve">Администрации Провиденского гор</w:t>
      </w:r>
      <w:r>
        <w:rPr>
          <w:rFonts w:ascii="Times New Roman" w:hAnsi="Times New Roman"/>
          <w:bCs/>
          <w:sz w:val="28"/>
          <w:szCs w:val="28"/>
        </w:rPr>
        <w:t xml:space="preserve">одского округа от 28 июля 2020 года № 208 </w:t>
      </w:r>
      <w:r>
        <w:rPr>
          <w:rFonts w:ascii="Times New Roman" w:hAnsi="Times New Roman" w:eastAsia="Calibri"/>
          <w:bCs/>
          <w:sz w:val="28"/>
          <w:szCs w:val="28"/>
        </w:rPr>
        <w:t xml:space="preserve">в соответствие </w:t>
      </w:r>
      <w:r>
        <w:rPr>
          <w:rStyle w:val="4381"/>
          <w:rFonts w:ascii="Times New Roman" w:hAnsi="Times New Roman"/>
          <w:sz w:val="28"/>
          <w:szCs w:val="28"/>
          <w:vertAlign w:val="baseline"/>
        </w:rPr>
        <w:t xml:space="preserve">с</w:t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Решениями Совета депутатов Провиденского муниципального округа: от 23 декабря 2024 года № 239 «О бюджете Провиденского муниципального округа на 2025 год», </w:t>
      </w:r>
      <w:r>
        <w:rPr>
          <w:rFonts w:ascii="Times New Roman" w:hAnsi="Times New Roman"/>
          <w:sz w:val="28"/>
          <w:szCs w:val="28"/>
        </w:rPr>
        <w:br/>
        <w:t xml:space="preserve">от 16 декабря 2025 года № 313 «О бюджете </w:t>
      </w:r>
      <w:r>
        <w:rPr>
          <w:rFonts w:ascii="Times New Roman" w:hAnsi="Times New Roman"/>
          <w:sz w:val="28"/>
          <w:szCs w:val="28"/>
        </w:rPr>
        <w:t xml:space="preserve">Провиде</w:t>
      </w:r>
      <w:r>
        <w:rPr>
          <w:rFonts w:ascii="Times New Roman" w:hAnsi="Times New Roman"/>
          <w:sz w:val="28"/>
          <w:szCs w:val="28"/>
        </w:rPr>
        <w:t xml:space="preserve">нского муниципального округа на 2026 год»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/>
          <w:sz w:val="28"/>
          <w:szCs w:val="28"/>
          <w:highlight w:val="white"/>
        </w:rPr>
        <w:outlineLvl w:val="5"/>
      </w:pPr>
      <w:r>
        <w:rPr>
          <w:rFonts w:ascii="Times New Roman" w:hAnsi="Times New Roman"/>
          <w:sz w:val="28"/>
          <w:szCs w:val="28"/>
          <w:highlight w:val="white"/>
        </w:rPr>
        <w:t xml:space="preserve">- провести служебное расследование в отношении должностного(-ых) лица (лиц) ответственного(-ых) за реализацию на территории Провиденского муниципального округа мероприятий по развитию жилищного строительств</w:t>
      </w:r>
      <w:r>
        <w:rPr>
          <w:rFonts w:ascii="Times New Roman" w:hAnsi="Times New Roman"/>
          <w:sz w:val="28"/>
          <w:szCs w:val="28"/>
          <w:highlight w:val="white"/>
        </w:rPr>
        <w:t xml:space="preserve">а, не обеспечившего(-их) принятие своевременных и полных мер для реализации на территории с. Сиреники мероприятий по развитию жилищного строительства, установленных Соглашением </w:t>
      </w:r>
      <w:r>
        <w:rPr>
          <w:rFonts w:ascii="Times New Roman" w:hAnsi="Times New Roman" w:eastAsia="Calibri"/>
          <w:sz w:val="28"/>
          <w:highlight w:val="white"/>
        </w:rPr>
        <w:t xml:space="preserve">о предоставлении субсидии из окружного бюджета бюджету Провиденского муниципаль</w:t>
      </w:r>
      <w:r>
        <w:rPr>
          <w:rFonts w:ascii="Times New Roman" w:hAnsi="Times New Roman" w:eastAsia="Calibri"/>
          <w:sz w:val="28"/>
          <w:highlight w:val="white"/>
        </w:rPr>
        <w:t xml:space="preserve">ного округа на обеспечение мероприятий по развитию жилищного строительства </w:t>
      </w:r>
      <w:r>
        <w:rPr>
          <w:rFonts w:ascii="Times New Roman" w:hAnsi="Times New Roman" w:eastAsia="Calibri"/>
          <w:sz w:val="28"/>
          <w:highlight w:val="white"/>
        </w:rPr>
        <w:t xml:space="preserve">от 11 февраля 2025 года № 25. </w:t>
      </w:r>
      <w:r>
        <w:rPr>
          <w:rFonts w:ascii="Times New Roman" w:hAnsi="Times New Roman" w:eastAsia="Calibri"/>
          <w:sz w:val="28"/>
          <w:szCs w:val="28"/>
          <w:highlight w:val="white"/>
        </w:rPr>
      </w:r>
      <w:r>
        <w:rPr>
          <w:rFonts w:ascii="Times New Roman" w:hAnsi="Times New Roman" w:eastAsia="Calibri"/>
          <w:sz w:val="28"/>
          <w:szCs w:val="28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outlineLvl w:val="5"/>
      </w:pPr>
      <w:r>
        <w:rPr>
          <w:rFonts w:ascii="Times New Roman" w:hAnsi="Times New Roman"/>
          <w:sz w:val="28"/>
          <w:szCs w:val="28"/>
        </w:rPr>
        <w:t xml:space="preserve">3. Направить </w:t>
      </w:r>
      <w:r>
        <w:rPr>
          <w:rFonts w:ascii="Times New Roman" w:hAnsi="Times New Roman"/>
          <w:sz w:val="28"/>
          <w:szCs w:val="28"/>
          <w:highlight w:val="white"/>
        </w:rPr>
        <w:t xml:space="preserve">Представление Счетной палаты Чукотского автономного округа в адрес исполняющего обязанности начальника </w:t>
      </w:r>
      <w:r>
        <w:rPr>
          <w:rFonts w:ascii="Times New Roman" w:hAnsi="Times New Roman"/>
          <w:sz w:val="28"/>
          <w:szCs w:val="28"/>
        </w:rPr>
        <w:t xml:space="preserve">Департамента строительства и жилищно-коммунального хозяйства Чукотского автономного округа с предложением: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outlineLvl w:val="5"/>
      </w:pPr>
      <w:r>
        <w:rPr>
          <w:rFonts w:ascii="Times New Roman" w:hAnsi="Times New Roman"/>
          <w:sz w:val="28"/>
          <w:szCs w:val="28"/>
        </w:rPr>
        <w:t xml:space="preserve">- внести изменения в Порядок </w:t>
      </w:r>
      <w:r>
        <w:rPr>
          <w:rFonts w:ascii="Times New Roman" w:hAnsi="Times New Roman" w:eastAsia="Calibri"/>
          <w:sz w:val="28"/>
        </w:rPr>
        <w:t xml:space="preserve">предоставления субсидии </w:t>
      </w:r>
      <w:r>
        <w:rPr>
          <w:rFonts w:ascii="Times New Roman" w:hAnsi="Times New Roman" w:eastAsia="Calibri"/>
          <w:sz w:val="28"/>
          <w:szCs w:val="24"/>
        </w:rPr>
        <w:t xml:space="preserve">на обеспечение мероприятий по развитию жилищного стро</w:t>
      </w:r>
      <w:r>
        <w:rPr>
          <w:rFonts w:ascii="Times New Roman" w:hAnsi="Times New Roman" w:eastAsia="Calibri"/>
          <w:sz w:val="28"/>
          <w:szCs w:val="24"/>
          <w:highlight w:val="white"/>
        </w:rPr>
        <w:t xml:space="preserve">ительства (Приложение № 4 к Государственной</w:t>
      </w:r>
      <w:r>
        <w:rPr>
          <w:rFonts w:ascii="Times New Roman" w:hAnsi="Times New Roman" w:eastAsia="Calibri"/>
          <w:sz w:val="28"/>
          <w:szCs w:val="24"/>
          <w:highlight w:val="white"/>
        </w:rPr>
        <w:t xml:space="preserve"> программе </w:t>
      </w:r>
      <w:r>
        <w:rPr>
          <w:rFonts w:ascii="Times New Roman" w:hAnsi="Times New Roman"/>
          <w:sz w:val="28"/>
          <w:szCs w:val="28"/>
          <w:highlight w:val="white"/>
        </w:rPr>
        <w:t xml:space="preserve">«Развитие жилищного </w:t>
      </w:r>
      <w:r>
        <w:rPr>
          <w:rFonts w:ascii="Times New Roman" w:hAnsi="Times New Roman"/>
          <w:sz w:val="28"/>
          <w:szCs w:val="28"/>
          <w:highlight w:val="white"/>
        </w:rPr>
        <w:t xml:space="preserve">строительства в Чукотском автономном округе») и установить предельный срок заключения контрактов для муниципальных образований Чукотского автономного округа;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white"/>
        </w:rPr>
        <w:outlineLvl w:val="5"/>
      </w:pPr>
      <w:r>
        <w:rPr>
          <w:rFonts w:ascii="Times New Roman" w:hAnsi="Times New Roman"/>
          <w:sz w:val="28"/>
          <w:szCs w:val="28"/>
        </w:rPr>
        <w:t xml:space="preserve">- разработать механизм контроля за реализацией на территории </w:t>
      </w:r>
      <w:r>
        <w:rPr>
          <w:rFonts w:ascii="Times New Roman" w:hAnsi="Times New Roman"/>
          <w:sz w:val="28"/>
          <w:szCs w:val="28"/>
          <w:highlight w:val="white"/>
        </w:rPr>
        <w:t xml:space="preserve">муници</w:t>
      </w:r>
      <w:r>
        <w:rPr>
          <w:rFonts w:ascii="Times New Roman" w:hAnsi="Times New Roman"/>
          <w:sz w:val="28"/>
          <w:szCs w:val="28"/>
          <w:highlight w:val="white"/>
        </w:rPr>
        <w:t xml:space="preserve">пальных образований Чукотского автономного округа мероприятий по развитию жилищного строительства в целях своевременного принятия управленческих решений для минимизации рисков невыполнения установленных соглашениями мероприятий.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white"/>
        </w:rPr>
        <w:outlineLvl w:val="5"/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white"/>
        </w:rPr>
        <w:outlineLvl w:val="5"/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white"/>
        </w:rPr>
        <w:outlineLvl w:val="5"/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tbl>
      <w:tblPr>
        <w:tblStyle w:val="4391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  <w:outlineLvl w:val="5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  <w:outlineLvl w:val="5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О.М. Тодавчич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white"/>
        </w:rPr>
        <w:outlineLvl w:val="5"/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b/>
          <w:sz w:val="28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</w:rPr>
        <w:t xml:space="preserve">ОТЧЕТ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</w:pPr>
      <w:r>
        <w:rPr>
          <w:rFonts w:ascii="Times New Roman" w:hAnsi="Times New Roman"/>
          <w:b/>
          <w:sz w:val="28"/>
        </w:rPr>
        <w:t xml:space="preserve">о результатах контрольного мероприятия</w:t>
      </w:r>
      <w:r/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 «</w:t>
      </w:r>
      <w:bookmarkStart w:id="0" w:name="undefined"/>
      <w:r>
        <w:rPr>
          <w:rFonts w:ascii="Times New Roman" w:hAnsi="Times New Roman"/>
          <w:b/>
          <w:sz w:val="28"/>
        </w:rPr>
        <w:t xml:space="preserve">Проверка использования бюджетных средств, направленных 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 xml:space="preserve">на реализацию комплекса процессных мероприятий «Поддержка, сохранение и развитие родных языков» Государственной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программы «Развитие образования и науки Чукотского автономного округа» 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 xml:space="preserve">в 2025 году»</w:t>
      </w:r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(утвержден Коллегией Счетной палаты Чукотского автономного округа,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от </w:t>
      </w:r>
      <w:r>
        <w:rPr>
          <w:rFonts w:ascii="Times New Roman" w:hAnsi="Times New Roman"/>
        </w:rPr>
        <w:t xml:space="preserve">28</w:t>
      </w:r>
      <w:r>
        <w:rPr>
          <w:rFonts w:ascii="Times New Roman" w:hAnsi="Times New Roman"/>
        </w:rPr>
        <w:t xml:space="preserve"> апреля 202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года № 6)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Основание для проведения контрольного мероприятия</w:t>
      </w:r>
      <w:r>
        <w:rPr>
          <w:rFonts w:ascii="Times New Roman" w:hAnsi="Times New Roman"/>
          <w:b/>
          <w:sz w:val="28"/>
        </w:rPr>
        <w:t xml:space="preserve">: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</w:t>
      </w:r>
      <w:r>
        <w:rPr>
          <w:rFonts w:ascii="Times New Roman" w:hAnsi="Times New Roman"/>
          <w:sz w:val="28"/>
        </w:rPr>
        <w:t xml:space="preserve">ункт  1.5 Плана работы Счетной палаты Чукотского автономного округа на 2026 год, утвержденного решением Коллегии Счетной палаты Чукотского автономного округа от 26 декабря 2025 года № 31.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Предмет контрольного мероприятия</w:t>
      </w:r>
      <w:r>
        <w:rPr>
          <w:rFonts w:ascii="Times New Roman" w:hAnsi="Times New Roman"/>
          <w:b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Деятельность объектов контрольного</w:t>
      </w:r>
      <w:r>
        <w:rPr>
          <w:rFonts w:ascii="Times New Roman" w:hAnsi="Times New Roman"/>
          <w:sz w:val="28"/>
        </w:rPr>
        <w:t xml:space="preserve"> мероприятия в процессе использования бюджетных средств, предоставленных на 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Цель контрольного мероприятия</w:t>
      </w:r>
      <w:r>
        <w:rPr>
          <w:rFonts w:ascii="Times New Roman" w:hAnsi="Times New Roman"/>
          <w:b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Оценить соблюдение требований законодательных и иных нормативных правовых актов Российской Федерации и Чукот</w:t>
      </w:r>
      <w:r>
        <w:rPr>
          <w:rFonts w:ascii="Times New Roman" w:hAnsi="Times New Roman"/>
          <w:sz w:val="28"/>
        </w:rPr>
        <w:t xml:space="preserve">ского автономного округа при использовании бюджетных средств, выделенных на 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Вопросы контрольного мероприятия</w:t>
      </w:r>
      <w:r>
        <w:rPr>
          <w:rFonts w:ascii="Times New Roman" w:hAnsi="Times New Roman"/>
          <w:b/>
          <w:sz w:val="28"/>
        </w:rPr>
        <w:t xml:space="preserve">: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/>
          <w:sz w:val="28"/>
        </w:rPr>
        <w:t xml:space="preserve">1.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Соблюдение нормативных правовых актов и иных документов, регламентирующих деятельность при использовании средств, предоставленных из окру</w:t>
      </w:r>
      <w:r>
        <w:rPr>
          <w:rFonts w:ascii="Times New Roman" w:hAnsi="Times New Roman"/>
          <w:sz w:val="28"/>
        </w:rPr>
        <w:t xml:space="preserve">жного бюджета на 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округа».</w:t>
      </w:r>
      <w:r/>
    </w:p>
    <w:p>
      <w:pPr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/>
          <w:sz w:val="28"/>
        </w:rPr>
        <w:t xml:space="preserve">2. Оценка использования средств окружного бюджета, направленных 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округа»:</w:t>
      </w:r>
      <w:r/>
    </w:p>
    <w:p>
      <w:pPr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/>
          <w:sz w:val="28"/>
        </w:rPr>
        <w:t xml:space="preserve">2.1. Соблюдение порядка предоставления и использования субсидий 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иные цели, предоставленных на организацию и проведение окружных мероприятий по родным языкам и краеведению;</w:t>
      </w:r>
      <w:r/>
    </w:p>
    <w:p>
      <w:pPr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/>
          <w:sz w:val="28"/>
        </w:rPr>
        <w:t xml:space="preserve">2.2.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Соблюдение условий и порядка предоставления грантов некоммерческим организациям на проведение Окружного фестиваля родных языков.</w:t>
      </w:r>
      <w:r/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Оценка достижения значений результатов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использования бюджетных средств, выделенных на 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Объекты контрольного мероприятия</w:t>
      </w:r>
      <w:r>
        <w:rPr>
          <w:rFonts w:ascii="Times New Roman" w:hAnsi="Times New Roman"/>
          <w:b/>
          <w:sz w:val="28"/>
        </w:rPr>
        <w:t xml:space="preserve">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Департамент образования и науки Чукотского автономного округа;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Государственное автономное учреждение дополнительного профессионального образования Чукотского автономного округа «Чукотский институт развития образования и повышения квалификации».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Проверяемый период деятельности</w:t>
      </w:r>
      <w:r>
        <w:rPr>
          <w:rFonts w:ascii="Times New Roman" w:hAnsi="Times New Roman"/>
          <w:b/>
          <w:sz w:val="28"/>
        </w:rPr>
        <w:t xml:space="preserve">: </w:t>
      </w:r>
      <w:r>
        <w:rPr>
          <w:rFonts w:ascii="Times New Roman" w:hAnsi="Times New Roman"/>
          <w:sz w:val="28"/>
        </w:rPr>
        <w:t xml:space="preserve">2025 год.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Сроки проведения контрольного мероприятия</w:t>
      </w:r>
      <w:r>
        <w:rPr>
          <w:rFonts w:ascii="Times New Roman" w:hAnsi="Times New Roman"/>
          <w:b/>
          <w:sz w:val="28"/>
        </w:rPr>
        <w:t xml:space="preserve">: </w:t>
      </w:r>
      <w:r>
        <w:rPr>
          <w:rFonts w:ascii="Times New Roman" w:hAnsi="Times New Roman"/>
          <w:sz w:val="28"/>
        </w:rPr>
        <w:t xml:space="preserve">с</w:t>
      </w:r>
      <w:r>
        <w:rPr>
          <w:rFonts w:ascii="Times New Roman" w:hAnsi="Times New Roman"/>
          <w:sz w:val="28"/>
        </w:rPr>
        <w:t xml:space="preserve"> 6 марта </w:t>
      </w:r>
      <w:r>
        <w:rPr>
          <w:rFonts w:ascii="Times New Roman" w:hAnsi="Times New Roman"/>
          <w:sz w:val="28"/>
        </w:rPr>
        <w:t xml:space="preserve">по 15 апреля 2026 года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  <w:outlineLvl w:val="0"/>
      </w:pPr>
      <w:r>
        <w:rPr>
          <w:rFonts w:ascii="Times New Roman" w:hAnsi="Times New Roman"/>
          <w:b/>
          <w:sz w:val="28"/>
        </w:rPr>
        <w:t xml:space="preserve">Краткая характеристика проверяемой сферы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Стратегическими приоритетами в сфере реализации </w:t>
      </w:r>
      <w:r>
        <w:rPr>
          <w:rFonts w:ascii="Times New Roman" w:hAnsi="Times New Roman"/>
          <w:sz w:val="28"/>
        </w:rPr>
        <w:t xml:space="preserve">государственной программы «Развитие образования и науки Чукотского автономного округа»</w:t>
      </w:r>
      <w:r>
        <w:rPr>
          <w:rStyle w:val="4381"/>
          <w:rFonts w:ascii="Times New Roman" w:hAnsi="Times New Roman"/>
          <w:sz w:val="28"/>
        </w:rPr>
        <w:footnoteReference w:id="19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(далее </w:t>
      </w:r>
      <w:r>
        <w:rPr>
          <w:rFonts w:ascii="Times New Roman" w:hAnsi="Times New Roman"/>
          <w:sz w:val="28"/>
        </w:rPr>
        <w:t xml:space="preserve"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ГП «Развитие образования»</w:t>
      </w:r>
      <w:r>
        <w:rPr>
          <w:rFonts w:ascii="Times New Roman" w:hAnsi="Times New Roman"/>
          <w:sz w:val="28"/>
        </w:rPr>
        <w:t xml:space="preserve">)</w:t>
      </w:r>
      <w:r>
        <w:rPr>
          <w:rFonts w:ascii="Times New Roman" w:hAnsi="Times New Roman"/>
          <w:sz w:val="28"/>
        </w:rPr>
        <w:t xml:space="preserve"> являются развитие человеческого потенциала, укрепление традиционных российских духовно-нравственных ценностей, культуры и исторической памяти, обеспечение безопасных условий обучения и воспитания подрастающего поколения.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 xml:space="preserve">ГП «Развитие образования» реализуется 13 региональных проектов и 14 комплексов процессных мероприятий, включая  комплекс процессных мероприятий «Поддержка, сохранение и развитие родных языков» (далее – КПМ «Поддержка, сохранение и развитие родных языков»).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Одним из положений  развития в области образования является создание условий для повышения интереса к изучению родных языков и краеведению путем проведения олимпиад, конкур</w:t>
      </w:r>
      <w:r>
        <w:rPr>
          <w:rFonts w:ascii="Times New Roman" w:hAnsi="Times New Roman"/>
          <w:sz w:val="28"/>
        </w:rPr>
        <w:t xml:space="preserve">сов, конференций, фестивалей по родным языкам и краеведению в Чукотском автономном округе, реализуемых в рамках комплекса процессных мероприятий «Поддержка, сохранение и развитие родных языков» (далее – КПМ «Поддержка, сохранение и развитие родных языков»)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Ответственным исполнителем КПМ «Поддержка, сохранение и развитие родных языков» определен Департамент</w:t>
      </w:r>
      <w:r>
        <w:t xml:space="preserve"> </w:t>
      </w:r>
      <w:r>
        <w:rPr>
          <w:rFonts w:ascii="Times New Roman" w:hAnsi="Times New Roman"/>
          <w:sz w:val="28"/>
        </w:rPr>
        <w:t xml:space="preserve">образования и науки Чукотского автономного округа (далее – Департамент), осуществляющий текущее управление и контроль за реализацией КПМ «Поддержка, сохранение и развитие родных языков» и ГП «Развитие образования» в целом.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контрольного мероприятия установлено следующее.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before="0" w:beforeAutospacing="0" w:after="0" w:afterAutospacing="0" w:line="240" w:lineRule="auto"/>
        <w:tabs>
          <w:tab w:val="left" w:pos="0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Соблюдение нормативных правовых актов и иных документов,</w:t>
      </w:r>
      <w:r>
        <w:rPr>
          <w:rFonts w:ascii="Times New Roman" w:hAnsi="Times New Roman"/>
          <w:b/>
          <w:sz w:val="28"/>
        </w:rPr>
        <w:t xml:space="preserve"> регламентирующих дея</w:t>
      </w:r>
      <w:r>
        <w:rPr>
          <w:rFonts w:ascii="Times New Roman" w:hAnsi="Times New Roman"/>
          <w:b/>
          <w:sz w:val="28"/>
        </w:rPr>
        <w:t xml:space="preserve">тельность при использовании средств, предоставленных из окружного бюджета на 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а</w:t>
      </w:r>
      <w:r>
        <w:rPr>
          <w:rFonts w:ascii="Times New Roman" w:hAnsi="Times New Roman"/>
          <w:sz w:val="28"/>
        </w:rPr>
        <w:t xml:space="preserve">нализ</w:t>
      </w:r>
      <w:r>
        <w:rPr>
          <w:rFonts w:ascii="Times New Roman" w:hAnsi="Times New Roman"/>
          <w:sz w:val="28"/>
        </w:rPr>
        <w:t xml:space="preserve"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соответствия положений ГП «Развитие образования» </w:t>
      </w:r>
      <w:r>
        <w:rPr>
          <w:rFonts w:ascii="Times New Roman" w:hAnsi="Times New Roman"/>
          <w:sz w:val="28"/>
        </w:rPr>
        <w:t xml:space="preserve">порядк</w:t>
      </w:r>
      <w:r>
        <w:rPr>
          <w:rFonts w:ascii="Times New Roman" w:hAnsi="Times New Roman"/>
          <w:sz w:val="28"/>
        </w:rPr>
        <w:t xml:space="preserve">у</w:t>
      </w:r>
      <w:r>
        <w:rPr>
          <w:rFonts w:ascii="Times New Roman" w:hAnsi="Times New Roman"/>
          <w:sz w:val="28"/>
        </w:rPr>
        <w:t xml:space="preserve"> реализации документов стратегического планирования</w:t>
      </w:r>
      <w:r>
        <w:rPr>
          <w:rFonts w:ascii="Times New Roman" w:hAnsi="Times New Roman"/>
          <w:sz w:val="28"/>
        </w:rPr>
        <w:t xml:space="preserve">, выявлены нарушения статьи 179 БК РФ и Порядка разработки, реализации и оценки эффективности государственных программ Чукотского автономного округа</w:t>
      </w:r>
      <w:r>
        <w:rPr>
          <w:rStyle w:val="4595"/>
          <w:rFonts w:ascii="Times New Roman" w:hAnsi="Times New Roman"/>
          <w:sz w:val="28"/>
        </w:rPr>
        <w:footnoteReference w:id="20"/>
      </w:r>
      <w:r>
        <w:rPr>
          <w:rFonts w:ascii="Times New Roman" w:hAnsi="Times New Roman"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национальные цели развития Российской Федерации указаны  в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соответствии с Указом Президента Российской Федерации от 21 июля </w:t>
      </w:r>
      <w:r>
        <w:rPr>
          <w:rFonts w:ascii="Times New Roman" w:hAnsi="Times New Roman"/>
          <w:color w:val="auto"/>
          <w:sz w:val="28"/>
        </w:rPr>
        <w:br/>
      </w:r>
      <w:r>
        <w:rPr>
          <w:rFonts w:ascii="Times New Roman" w:hAnsi="Times New Roman"/>
          <w:color w:val="auto"/>
          <w:sz w:val="28"/>
        </w:rPr>
        <w:t xml:space="preserve">2020 года № 474 «О национальных целях развития Российской Федерации на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период до 2030 года», который утратил силу в связи с изданием Указа Президента Российской Федерации от 7 мая 2024 года №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309 «О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национальных целях развития </w:t>
      </w:r>
      <w:r>
        <w:rPr>
          <w:rFonts w:ascii="Times New Roman" w:hAnsi="Times New Roman"/>
          <w:color w:val="auto"/>
          <w:sz w:val="28"/>
        </w:rPr>
        <w:t xml:space="preserve">Российской Федерации на период </w:t>
      </w:r>
      <w:r>
        <w:rPr>
          <w:rFonts w:ascii="Times New Roman" w:hAnsi="Times New Roman"/>
          <w:color w:val="auto"/>
          <w:sz w:val="28"/>
        </w:rPr>
        <w:br/>
      </w:r>
      <w:r>
        <w:rPr>
          <w:rFonts w:ascii="Times New Roman" w:hAnsi="Times New Roman"/>
          <w:color w:val="auto"/>
          <w:sz w:val="28"/>
        </w:rPr>
        <w:t xml:space="preserve">до 2030 года и на перспективу до 2036 года»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– </w:t>
      </w:r>
      <w:r>
        <w:rPr>
          <w:rFonts w:ascii="Times New Roman" w:hAnsi="Times New Roman"/>
          <w:color w:val="auto"/>
          <w:sz w:val="28"/>
        </w:rPr>
        <w:t xml:space="preserve"> 1</w:t>
      </w:r>
      <w:r>
        <w:rPr>
          <w:rFonts w:ascii="Times New Roman" w:hAnsi="Times New Roman"/>
          <w:color w:val="auto"/>
          <w:sz w:val="28"/>
        </w:rPr>
        <w:t xml:space="preserve"> нарушение</w:t>
      </w:r>
      <w:r>
        <w:rPr>
          <w:rFonts w:ascii="Times New Roman" w:hAnsi="Times New Roman"/>
          <w:color w:val="auto"/>
          <w:sz w:val="28"/>
        </w:rPr>
        <w:t xml:space="preserve">;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показатели, характеризующие достижение национальных целей развития</w:t>
      </w:r>
      <w:r>
        <w:rPr>
          <w:color w:val="auto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Российской Федерации,</w:t>
      </w:r>
      <w:r>
        <w:rPr>
          <w:color w:val="auto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отсутствуют</w:t>
      </w:r>
      <w:r>
        <w:rPr>
          <w:rFonts w:ascii="Times New Roman" w:hAnsi="Times New Roman"/>
          <w:color w:val="auto"/>
          <w:sz w:val="28"/>
        </w:rPr>
        <w:t xml:space="preserve"> – 1 нарушение</w:t>
      </w:r>
      <w:r>
        <w:rPr>
          <w:rFonts w:ascii="Times New Roman" w:hAnsi="Times New Roman"/>
          <w:color w:val="auto"/>
          <w:sz w:val="28"/>
        </w:rPr>
        <w:t xml:space="preserve">;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/>
      <w:bookmarkStart w:id="0" w:name="undefined"/>
      <w:r>
        <w:rPr>
          <w:rFonts w:ascii="Times New Roman" w:hAnsi="Times New Roman"/>
          <w:color w:val="auto"/>
          <w:sz w:val="28"/>
        </w:rPr>
        <w:t xml:space="preserve">изменения в ГП «Развитие образования», </w:t>
      </w:r>
      <w:bookmarkEnd w:id="0"/>
      <w:r>
        <w:rPr>
          <w:rFonts w:ascii="Times New Roman" w:hAnsi="Times New Roman"/>
          <w:color w:val="auto"/>
          <w:sz w:val="28"/>
        </w:rPr>
        <w:t xml:space="preserve">в целях приведения в соответствие со сводной бюджетной росписью окружного бюджета отчетного финансового года, внесены с нарушением установленного срока (не позднее 1 февраля очередного финансового года)</w:t>
      </w:r>
      <w:r>
        <w:rPr>
          <w:rFonts w:ascii="Times New Roman" w:hAnsi="Times New Roman"/>
          <w:color w:val="auto"/>
          <w:sz w:val="28"/>
        </w:rPr>
        <w:t xml:space="preserve"> – 1 нарушение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Оценка использования средств окружного бюджета,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направленных на реализацию комплекса процессных мероприятий «Поддержка, сохранение и развитие родных языков»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Государственной программы «Развитие образования и науки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Чукотского автономного округа»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Объем финансовых ресурсов, предусмотренны</w:t>
      </w:r>
      <w:r>
        <w:rPr>
          <w:rFonts w:ascii="Times New Roman" w:hAnsi="Times New Roman"/>
          <w:sz w:val="28"/>
        </w:rPr>
        <w:t xml:space="preserve">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2025 году</w:t>
      </w:r>
      <w:r>
        <w:rPr>
          <w:rFonts w:ascii="Times New Roman" w:hAnsi="Times New Roman"/>
          <w:sz w:val="28"/>
        </w:rPr>
        <w:t xml:space="preserve"> 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реализацию КПМ «Поддержка, сохранение и развитие родных языков»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ГП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«Развитие образования</w:t>
      </w:r>
      <w:r>
        <w:rPr>
          <w:rFonts w:ascii="Times New Roman" w:hAnsi="Times New Roman"/>
          <w:sz w:val="28"/>
        </w:rPr>
        <w:t xml:space="preserve">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состав</w:t>
      </w:r>
      <w:r>
        <w:rPr>
          <w:rFonts w:ascii="Times New Roman" w:hAnsi="Times New Roman"/>
          <w:sz w:val="28"/>
        </w:rPr>
        <w:t xml:space="preserve">ил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4 131</w:t>
      </w:r>
      <w:r>
        <w:rPr>
          <w:rFonts w:ascii="Times New Roman" w:hAnsi="Times New Roman"/>
          <w:sz w:val="28"/>
        </w:rPr>
        <w:t xml:space="preserve">,4 тыс. рублей, что соответствует показателям</w:t>
      </w:r>
      <w:r>
        <w:rPr>
          <w:rFonts w:ascii="Times New Roman" w:hAnsi="Times New Roman"/>
          <w:sz w:val="28"/>
        </w:rPr>
        <w:t xml:space="preserve">,</w:t>
      </w:r>
      <w:r>
        <w:rPr>
          <w:rFonts w:ascii="Times New Roman" w:hAnsi="Times New Roman"/>
          <w:sz w:val="28"/>
        </w:rPr>
        <w:t xml:space="preserve"> отраженным в сводной бюджетной росписи от 30 декабря 2025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года.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 xml:space="preserve">Объем бюджетных ассигнований на реализацию КПМ «Поддержка, сохранение и развитие родных языков»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ГП «Развитие образования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sz w:val="28"/>
        </w:rPr>
        <w:t xml:space="preserve">, утвержденный Законом о бюджете на 2025 год</w:t>
      </w:r>
      <w:r>
        <w:rPr>
          <w:rStyle w:val="4381"/>
          <w:rFonts w:ascii="Times New Roman" w:hAnsi="Times New Roman"/>
          <w:sz w:val="28"/>
        </w:rPr>
        <w:footnoteReference w:id="21"/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 xml:space="preserve">в ред. от 19.11.2025 № 86-ОЗ)</w:t>
      </w:r>
      <w:r>
        <w:rPr>
          <w:rFonts w:ascii="Times New Roman" w:hAnsi="Times New Roman"/>
          <w:sz w:val="28"/>
        </w:rPr>
        <w:t xml:space="preserve">, состав</w:t>
      </w:r>
      <w:r>
        <w:rPr>
          <w:rFonts w:ascii="Times New Roman" w:hAnsi="Times New Roman"/>
          <w:sz w:val="28"/>
        </w:rPr>
        <w:t xml:space="preserve">ил</w:t>
      </w:r>
      <w:r>
        <w:rPr>
          <w:rFonts w:ascii="Times New Roman" w:hAnsi="Times New Roman"/>
          <w:sz w:val="28"/>
        </w:rPr>
        <w:t xml:space="preserve"> 4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770</w:t>
      </w:r>
      <w:r>
        <w:rPr>
          <w:rFonts w:ascii="Times New Roman" w:hAnsi="Times New Roman"/>
          <w:sz w:val="28"/>
        </w:rPr>
        <w:t xml:space="preserve">,0 тыс. рублей.</w:t>
      </w:r>
      <w:r>
        <w:t xml:space="preserve"> </w:t>
      </w: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Источником финансового обеспечения являлись средства окружного бюджета.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t xml:space="preserve"> </w:t>
      </w:r>
      <w:r>
        <w:rPr>
          <w:rFonts w:ascii="Times New Roman" w:hAnsi="Times New Roman"/>
          <w:sz w:val="28"/>
        </w:rPr>
        <w:t xml:space="preserve">Информация о</w:t>
      </w:r>
      <w:r>
        <w:rPr>
          <w:rFonts w:ascii="Times New Roman" w:hAnsi="Times New Roman"/>
          <w:sz w:val="28"/>
        </w:rPr>
        <w:t xml:space="preserve"> предусмотренных и исполненных </w:t>
      </w:r>
      <w:r>
        <w:rPr>
          <w:rFonts w:ascii="Times New Roman" w:hAnsi="Times New Roman"/>
          <w:sz w:val="28"/>
        </w:rPr>
        <w:t xml:space="preserve">бюджетных назначени</w:t>
      </w:r>
      <w:r>
        <w:rPr>
          <w:rFonts w:ascii="Times New Roman" w:hAnsi="Times New Roman"/>
          <w:sz w:val="28"/>
        </w:rPr>
        <w:t xml:space="preserve">ях</w:t>
      </w:r>
      <w:r>
        <w:rPr>
          <w:rFonts w:ascii="Times New Roman" w:hAnsi="Times New Roman"/>
          <w:sz w:val="28"/>
        </w:rPr>
        <w:t xml:space="preserve"> на реализацию КПМ «Поддержка, сохранение и развитие родных языков» в 2025 году </w:t>
      </w:r>
      <w:r>
        <w:rPr>
          <w:rFonts w:ascii="Times New Roman" w:hAnsi="Times New Roman"/>
          <w:sz w:val="28"/>
        </w:rPr>
        <w:t xml:space="preserve">приведена в </w:t>
      </w:r>
      <w:r>
        <w:rPr>
          <w:rFonts w:ascii="Times New Roman" w:hAnsi="Times New Roman"/>
          <w:sz w:val="28"/>
        </w:rPr>
        <w:t xml:space="preserve">таблиц</w:t>
      </w:r>
      <w:r>
        <w:rPr>
          <w:rFonts w:ascii="Times New Roman" w:hAnsi="Times New Roman"/>
          <w:sz w:val="28"/>
        </w:rPr>
        <w:t xml:space="preserve">е</w:t>
      </w:r>
      <w:r>
        <w:rPr>
          <w:rFonts w:ascii="Times New Roman" w:hAnsi="Times New Roman"/>
          <w:sz w:val="28"/>
        </w:rPr>
        <w:t xml:space="preserve"> № 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Таблица № 1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4391"/>
        <w:tblW w:w="9929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426"/>
        <w:gridCol w:w="3266"/>
        <w:gridCol w:w="992"/>
        <w:gridCol w:w="1134"/>
        <w:gridCol w:w="1134"/>
        <w:gridCol w:w="850"/>
        <w:gridCol w:w="703"/>
        <w:gridCol w:w="1424"/>
      </w:tblGrid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п/п 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Наименование мероприятия 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Утверждено, тыс. рублей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3" w:type="dxa"/>
            <w:vAlign w:val="center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 01.01.2026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4" w:type="dxa"/>
            <w:vAlign w:val="center"/>
            <w:vMerge w:val="restart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Неиспол-ненные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назначения,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тыс.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рублей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)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vMerge w:val="continue"/>
            <w:textDirection w:val="lrTb"/>
            <w:noWrap w:val="false"/>
          </w:tcPr>
          <w:p>
            <w:r/>
            <w:bookmarkStart w:id="0" w:name="undefined"/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6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Государ-ственная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программа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Закон о бюджете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 2025 год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Сводная бюджетная роспись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тыс.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рублей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%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4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5"/>
              <w:jc w:val="center"/>
            </w:pPr>
            <w:r/>
            <w:r/>
          </w:p>
        </w:tc>
      </w:tr>
      <w:tr>
        <w:tblPrEx/>
        <w:trPr>
          <w:trHeight w:val="62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1.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66" w:type="dxa"/>
            <w:textDirection w:val="lrTb"/>
            <w:noWrap w:val="false"/>
          </w:tcPr>
          <w:p>
            <w:pPr>
              <w:ind w:left="1" w:right="141"/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Комплекс процессных мероприятий «Поддержка, сохранение и развитие родных языков»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13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4 131,4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ind w:left="-108" w:right="-113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4 770,0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4 131,4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3 166,3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76,6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965,1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</w:tr>
      <w:tr>
        <w:tblPrEx/>
        <w:trPr>
          <w:trHeight w:val="7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1.1.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66" w:type="dxa"/>
            <w:vAlign w:val="bottom"/>
            <w:textDirection w:val="lrTb"/>
            <w:noWrap w:val="false"/>
          </w:tcPr>
          <w:p>
            <w:pPr>
              <w:ind w:left="1" w:right="141"/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Организация и проведение научно-практических конференций по родным языкам и краеведению с участием детей и молодежи Чукотского автономного округа 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300,0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300,0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300,0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196,7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65,6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103,3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9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1.2.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66" w:type="dxa"/>
            <w:vAlign w:val="bottom"/>
            <w:textDirection w:val="lrTb"/>
            <w:noWrap w:val="false"/>
          </w:tcPr>
          <w:p>
            <w:pPr>
              <w:ind w:left="1" w:right="141"/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Организация и проведение олимпиад по родным языкам и краеведению для воспитанников и учащихся образовательных организаций Чукотского автономного округа 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470,0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470,0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470,0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469,6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0,4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56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1.3.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66" w:type="dxa"/>
            <w:vAlign w:val="bottom"/>
            <w:textDirection w:val="lrTb"/>
            <w:noWrap w:val="false"/>
          </w:tcPr>
          <w:p>
            <w:pPr>
              <w:ind w:left="1" w:right="141"/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Гранты некоммерческим организациям на проведение Окружного фестиваля родных языков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13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3 361,4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ind w:left="-107" w:right="-105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4 000,0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3 361,4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2 500,0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74,4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861,4</w:t>
            </w:r>
            <w:bookmarkEnd w:id="0"/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2025 году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кассовые </w:t>
      </w:r>
      <w:r>
        <w:rPr>
          <w:rFonts w:ascii="Times New Roman" w:hAnsi="Times New Roman"/>
          <w:sz w:val="28"/>
        </w:rPr>
        <w:t xml:space="preserve">расходы окружного бюджета на реализацию </w:t>
      </w:r>
      <w:r>
        <w:rPr>
          <w:rFonts w:ascii="Times New Roman" w:hAnsi="Times New Roman"/>
          <w:sz w:val="28"/>
        </w:rPr>
        <w:t xml:space="preserve">3 мероприятий </w:t>
      </w:r>
      <w:r>
        <w:rPr>
          <w:rFonts w:ascii="Times New Roman" w:hAnsi="Times New Roman"/>
          <w:sz w:val="28"/>
        </w:rPr>
        <w:t xml:space="preserve">КПМ «Поддержка, сохранение и развитие родных языков» составили 3 166,3 тыс. рублей или 76,6% плановых назначен</w:t>
      </w:r>
      <w:r>
        <w:rPr>
          <w:rFonts w:ascii="Times New Roman" w:hAnsi="Times New Roman"/>
          <w:sz w:val="28"/>
        </w:rPr>
        <w:t xml:space="preserve">и</w:t>
      </w:r>
      <w:r>
        <w:rPr>
          <w:rFonts w:ascii="Times New Roman" w:hAnsi="Times New Roman"/>
          <w:sz w:val="28"/>
        </w:rPr>
        <w:t xml:space="preserve">й.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Неисполненные бюджетные назначения по КПМ «Поддержка, сохранение и развитие родных языков» составили в общей сумме </w:t>
      </w:r>
      <w:r>
        <w:rPr>
          <w:rFonts w:ascii="Times New Roman" w:hAnsi="Times New Roman"/>
          <w:sz w:val="28"/>
        </w:rPr>
        <w:t xml:space="preserve">965,1 тыс. рублей</w:t>
      </w:r>
      <w:r>
        <w:rPr>
          <w:rFonts w:ascii="Times New Roman" w:hAnsi="Times New Roman"/>
          <w:sz w:val="28"/>
        </w:rPr>
        <w:t xml:space="preserve"> или 23,4% от предусмотренных сводной бюджетной росписью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</w:t>
      </w:r>
      <w:r>
        <w:rPr>
          <w:rFonts w:ascii="Times New Roman" w:hAnsi="Times New Roman"/>
          <w:sz w:val="28"/>
        </w:rPr>
        <w:t xml:space="preserve">еализация мероприятий КПМ «Поддержка, сохранение и развитие родных языков» осуществлялась посредством: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субсиди</w:t>
      </w:r>
      <w:r>
        <w:rPr>
          <w:rFonts w:ascii="Times New Roman" w:hAnsi="Times New Roman"/>
          <w:sz w:val="28"/>
        </w:rPr>
        <w:t xml:space="preserve">и</w:t>
      </w:r>
      <w:r>
        <w:rPr>
          <w:rFonts w:ascii="Times New Roman" w:hAnsi="Times New Roman"/>
          <w:sz w:val="28"/>
        </w:rPr>
        <w:t xml:space="preserve"> на иные цели государственным бюджетным и автономным учреждениям Чукотского автономного округа, подведомственным Департаменту</w:t>
      </w:r>
      <w:r>
        <w:rPr>
          <w:rFonts w:ascii="Times New Roman" w:hAnsi="Times New Roman"/>
          <w:sz w:val="28"/>
        </w:rPr>
        <w:t xml:space="preserve"> по двум направлениям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грант</w:t>
      </w:r>
      <w:r>
        <w:rPr>
          <w:rFonts w:ascii="Times New Roman" w:hAnsi="Times New Roman"/>
          <w:sz w:val="28"/>
        </w:rPr>
        <w:t xml:space="preserve">а</w:t>
      </w:r>
      <w:r>
        <w:rPr>
          <w:rFonts w:ascii="Times New Roman" w:hAnsi="Times New Roman"/>
          <w:sz w:val="28"/>
        </w:rPr>
        <w:t xml:space="preserve"> некоммерческим организациям на проведение Окружного фестиваля родных языков.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Соблюдение порядка предоставления и использования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субсидий на иные цели, предоставленных на организацию и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проведение окружных мероприятий по родным языкам и краеведению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мероприятий «</w:t>
      </w:r>
      <w:r>
        <w:rPr>
          <w:rFonts w:ascii="Times New Roman" w:hAnsi="Times New Roman"/>
          <w:sz w:val="28"/>
        </w:rPr>
        <w:t xml:space="preserve">Организация и проведение научно-практических конференций по родным языкам и краеведению с участием детей и молодежи Чукотского автономного округа</w:t>
      </w:r>
      <w:r>
        <w:rPr>
          <w:rFonts w:ascii="Times New Roman" w:hAnsi="Times New Roman"/>
          <w:sz w:val="28"/>
        </w:rPr>
        <w:t xml:space="preserve">» и «</w:t>
      </w:r>
      <w:r>
        <w:rPr>
          <w:rFonts w:ascii="Times New Roman" w:hAnsi="Times New Roman"/>
          <w:sz w:val="28"/>
        </w:rPr>
        <w:t xml:space="preserve">Организация и проведение олимпиад по родным языкам и краеведению для воспитанников и учащихся образовательных организаций Чукотского автономного округа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(далее – мероприятия по родным языкам и краеведению) </w:t>
      </w:r>
      <w:r>
        <w:rPr>
          <w:rFonts w:ascii="Times New Roman" w:hAnsi="Times New Roman"/>
          <w:sz w:val="28"/>
        </w:rPr>
        <w:t xml:space="preserve">КПМ «Поддержка, сохранение и развитие родных языков»</w:t>
      </w:r>
      <w:r>
        <w:rPr>
          <w:rFonts w:ascii="Times New Roman" w:hAnsi="Times New Roman"/>
          <w:sz w:val="28"/>
        </w:rPr>
        <w:t xml:space="preserve"> осуществлялась </w:t>
      </w:r>
      <w:r>
        <w:rPr>
          <w:rFonts w:ascii="Times New Roman" w:hAnsi="Times New Roman"/>
          <w:sz w:val="28"/>
        </w:rPr>
        <w:t xml:space="preserve">в соответствии с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Поряд</w:t>
      </w:r>
      <w:r>
        <w:rPr>
          <w:rFonts w:ascii="Times New Roman" w:hAnsi="Times New Roman"/>
          <w:sz w:val="28"/>
        </w:rPr>
        <w:t xml:space="preserve">ком</w:t>
      </w:r>
      <w:r>
        <w:rPr>
          <w:rFonts w:ascii="Times New Roman" w:hAnsi="Times New Roman"/>
          <w:sz w:val="28"/>
        </w:rPr>
        <w:t xml:space="preserve"> определения объема и условий предоставления государственным бюджетным и автономным учреждениям Чукотского автономного округа, подведомственным Департаменту,</w:t>
      </w:r>
      <w:r>
        <w:rPr>
          <w:rFonts w:ascii="Times New Roman" w:hAnsi="Times New Roman"/>
          <w:sz w:val="28"/>
        </w:rPr>
        <w:t xml:space="preserve"> путем предоставления </w:t>
      </w:r>
      <w:r>
        <w:rPr>
          <w:rFonts w:ascii="Times New Roman" w:hAnsi="Times New Roman"/>
          <w:sz w:val="28"/>
        </w:rPr>
        <w:t xml:space="preserve">субсидий на иные цели</w:t>
      </w:r>
      <w:r>
        <w:rPr>
          <w:rStyle w:val="4381"/>
          <w:rFonts w:ascii="Times New Roman" w:hAnsi="Times New Roman"/>
          <w:sz w:val="28"/>
        </w:rPr>
        <w:footnoteReference w:id="22"/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 xml:space="preserve">Объем финансовых ресурсов, предусмотренны</w:t>
      </w:r>
      <w:r>
        <w:rPr>
          <w:rFonts w:ascii="Times New Roman" w:hAnsi="Times New Roman"/>
          <w:sz w:val="28"/>
        </w:rPr>
        <w:t xml:space="preserve">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2025 году</w:t>
      </w:r>
      <w:r>
        <w:rPr>
          <w:rFonts w:ascii="Times New Roman" w:hAnsi="Times New Roman"/>
          <w:sz w:val="28"/>
        </w:rPr>
        <w:t xml:space="preserve"> ГП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«Развитие образования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sz w:val="28"/>
        </w:rPr>
        <w:t xml:space="preserve"> на реализацию </w:t>
      </w:r>
      <w:r>
        <w:rPr>
          <w:rFonts w:ascii="Times New Roman" w:hAnsi="Times New Roman"/>
          <w:sz w:val="28"/>
        </w:rPr>
        <w:t xml:space="preserve">мероприятий </w:t>
      </w:r>
      <w:r>
        <w:rPr>
          <w:rFonts w:ascii="Times New Roman" w:hAnsi="Times New Roman"/>
          <w:sz w:val="28"/>
        </w:rPr>
        <w:t xml:space="preserve">по родным языкам и краеведению</w:t>
      </w:r>
      <w:r>
        <w:rPr>
          <w:rFonts w:ascii="Times New Roman" w:hAnsi="Times New Roman"/>
          <w:sz w:val="28"/>
        </w:rPr>
        <w:t xml:space="preserve">, состав</w:t>
      </w:r>
      <w:r>
        <w:rPr>
          <w:rFonts w:ascii="Times New Roman" w:hAnsi="Times New Roman"/>
          <w:sz w:val="28"/>
        </w:rPr>
        <w:t xml:space="preserve">ил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770,0</w:t>
      </w:r>
      <w:r>
        <w:rPr>
          <w:rFonts w:ascii="Times New Roman" w:hAnsi="Times New Roman"/>
          <w:sz w:val="28"/>
        </w:rPr>
        <w:t xml:space="preserve"> тыс. рублей, что соответствует </w:t>
      </w:r>
      <w:r>
        <w:rPr>
          <w:rFonts w:ascii="Times New Roman" w:hAnsi="Times New Roman"/>
          <w:sz w:val="28"/>
        </w:rPr>
        <w:t xml:space="preserve">о</w:t>
      </w:r>
      <w:r>
        <w:rPr>
          <w:rFonts w:ascii="Times New Roman" w:hAnsi="Times New Roman"/>
          <w:sz w:val="28"/>
        </w:rPr>
        <w:t xml:space="preserve">бъем</w:t>
      </w:r>
      <w:r>
        <w:rPr>
          <w:rFonts w:ascii="Times New Roman" w:hAnsi="Times New Roman"/>
          <w:sz w:val="28"/>
        </w:rPr>
        <w:t xml:space="preserve">у</w:t>
      </w:r>
      <w:r>
        <w:rPr>
          <w:rFonts w:ascii="Times New Roman" w:hAnsi="Times New Roman"/>
          <w:sz w:val="28"/>
        </w:rPr>
        <w:t xml:space="preserve"> бюджетных ассигнований, утвержденн</w:t>
      </w:r>
      <w:r>
        <w:rPr>
          <w:rFonts w:ascii="Times New Roman" w:hAnsi="Times New Roman"/>
          <w:sz w:val="28"/>
        </w:rPr>
        <w:t xml:space="preserve">ому</w:t>
      </w:r>
      <w:r>
        <w:rPr>
          <w:rFonts w:ascii="Times New Roman" w:hAnsi="Times New Roman"/>
          <w:sz w:val="28"/>
        </w:rPr>
        <w:t xml:space="preserve"> Законом о бюджете на 2025 год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показателям</w:t>
      </w:r>
      <w:r>
        <w:rPr>
          <w:rFonts w:ascii="Times New Roman" w:hAnsi="Times New Roman"/>
          <w:sz w:val="28"/>
        </w:rPr>
        <w:t xml:space="preserve">,</w:t>
      </w:r>
      <w:r>
        <w:rPr>
          <w:rFonts w:ascii="Times New Roman" w:hAnsi="Times New Roman"/>
          <w:sz w:val="28"/>
        </w:rPr>
        <w:t xml:space="preserve"> отраженным в сводной бюджетной росписи от 30 декабря </w:t>
      </w:r>
      <w:r>
        <w:rPr>
          <w:rFonts w:ascii="Times New Roman" w:hAnsi="Times New Roman"/>
          <w:sz w:val="28"/>
        </w:rPr>
        <w:t xml:space="preserve">2025 года. </w:t>
      </w: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 для получения субсидии на иные цели, установленным Порядком № 107 (в ред</w:t>
      </w:r>
      <w:r>
        <w:rPr>
          <w:rFonts w:ascii="Times New Roman" w:hAnsi="Times New Roman"/>
          <w:sz w:val="28"/>
        </w:rPr>
        <w:t xml:space="preserve">акции</w:t>
      </w:r>
      <w:r>
        <w:rPr>
          <w:rFonts w:ascii="Times New Roman" w:hAnsi="Times New Roman"/>
          <w:sz w:val="28"/>
        </w:rPr>
        <w:t xml:space="preserve"> от 26 августа 2024 года), представ</w:t>
      </w:r>
      <w:r>
        <w:rPr>
          <w:rFonts w:ascii="Times New Roman" w:hAnsi="Times New Roman"/>
          <w:sz w:val="28"/>
        </w:rPr>
        <w:t xml:space="preserve">лены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Государственн</w:t>
      </w:r>
      <w:r>
        <w:rPr>
          <w:rFonts w:ascii="Times New Roman" w:hAnsi="Times New Roman"/>
          <w:sz w:val="28"/>
        </w:rPr>
        <w:t xml:space="preserve">ым</w:t>
      </w:r>
      <w:r>
        <w:rPr>
          <w:rFonts w:ascii="Times New Roman" w:hAnsi="Times New Roman"/>
          <w:sz w:val="28"/>
        </w:rPr>
        <w:t xml:space="preserve"> автономн</w:t>
      </w:r>
      <w:r>
        <w:rPr>
          <w:rFonts w:ascii="Times New Roman" w:hAnsi="Times New Roman"/>
          <w:sz w:val="28"/>
        </w:rPr>
        <w:t xml:space="preserve">ым</w:t>
      </w:r>
      <w:r>
        <w:rPr>
          <w:rFonts w:ascii="Times New Roman" w:hAnsi="Times New Roman"/>
          <w:sz w:val="28"/>
        </w:rPr>
        <w:t xml:space="preserve"> учреждение</w:t>
      </w:r>
      <w:r>
        <w:rPr>
          <w:rFonts w:ascii="Times New Roman" w:hAnsi="Times New Roman"/>
          <w:sz w:val="28"/>
        </w:rPr>
        <w:t xml:space="preserve">м</w:t>
      </w:r>
      <w:r>
        <w:rPr>
          <w:rFonts w:ascii="Times New Roman" w:hAnsi="Times New Roman"/>
          <w:sz w:val="28"/>
        </w:rPr>
        <w:t xml:space="preserve"> дополнительного профессионального образования Чукотского автономного округа «Чукотский институт развития образования и повышения квалификации»</w:t>
      </w:r>
      <w:r>
        <w:rPr>
          <w:rFonts w:ascii="Times New Roman" w:hAnsi="Times New Roman"/>
          <w:sz w:val="28"/>
        </w:rPr>
        <w:t xml:space="preserve"> (далее </w:t>
      </w:r>
      <w:r>
        <w:rPr>
          <w:rFonts w:ascii="Times New Roman" w:hAnsi="Times New Roman"/>
          <w:sz w:val="28"/>
        </w:rPr>
        <w:t xml:space="preserve"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ГАУ ДПО </w:t>
      </w:r>
      <w:r>
        <w:rPr>
          <w:rFonts w:ascii="Times New Roman" w:hAnsi="Times New Roman"/>
          <w:sz w:val="28"/>
        </w:rPr>
        <w:t xml:space="preserve">ЧИРОиПК</w:t>
      </w:r>
      <w:r>
        <w:rPr>
          <w:rFonts w:ascii="Times New Roman" w:hAnsi="Times New Roman"/>
          <w:sz w:val="28"/>
        </w:rPr>
        <w:t xml:space="preserve">)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Между </w:t>
      </w:r>
      <w:r>
        <w:rPr>
          <w:rFonts w:ascii="Times New Roman" w:hAnsi="Times New Roman"/>
          <w:sz w:val="28"/>
        </w:rPr>
        <w:t xml:space="preserve">Департаментом  и</w:t>
      </w:r>
      <w:r>
        <w:rPr>
          <w:rFonts w:ascii="Times New Roman" w:hAnsi="Times New Roman"/>
          <w:sz w:val="28"/>
        </w:rPr>
        <w:t xml:space="preserve"> ГАУ ДПО </w:t>
      </w:r>
      <w:r>
        <w:rPr>
          <w:rFonts w:ascii="Times New Roman" w:hAnsi="Times New Roman"/>
          <w:sz w:val="28"/>
        </w:rPr>
        <w:t xml:space="preserve">ЧИРОиПК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заключено Соглашение </w:t>
      </w:r>
      <w:r>
        <w:rPr>
          <w:rFonts w:ascii="Times New Roman" w:hAnsi="Times New Roman"/>
          <w:sz w:val="28"/>
        </w:rPr>
        <w:t xml:space="preserve">о предоставлении из окружного бюджета субсидий на организацию и проведение окружных мероприятий по родным языкам и краеведению на 2025 год от 17 декабря 2024 года </w:t>
      </w:r>
      <w:r>
        <w:rPr>
          <w:rFonts w:ascii="Times New Roman" w:hAnsi="Times New Roman"/>
          <w:sz w:val="28"/>
        </w:rPr>
        <w:t xml:space="preserve">№ 02-15/314 (далее – Соглашение </w:t>
      </w:r>
      <w:r>
        <w:rPr>
          <w:rFonts w:ascii="Times New Roman" w:hAnsi="Times New Roman"/>
          <w:sz w:val="28"/>
        </w:rPr>
        <w:t xml:space="preserve">о предоставлении субсидии на иные цели</w:t>
      </w:r>
      <w:r>
        <w:rPr>
          <w:rFonts w:ascii="Times New Roman" w:hAnsi="Times New Roman"/>
          <w:sz w:val="28"/>
        </w:rPr>
        <w:t xml:space="preserve">) в сумме 1 700,0 тыс. рублей</w:t>
      </w:r>
      <w:r>
        <w:rPr>
          <w:rFonts w:ascii="Times New Roman" w:hAnsi="Times New Roman"/>
          <w:sz w:val="28"/>
        </w:rPr>
        <w:t xml:space="preserve">, в том числе по направлениям: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и проведение научно-практических конференций по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родным языкам и краеведению с участием детей и молодежи Чукотского автономного округа</w:t>
      </w:r>
      <w:r>
        <w:rPr>
          <w:rFonts w:ascii="Times New Roman" w:hAnsi="Times New Roman"/>
          <w:sz w:val="28"/>
        </w:rPr>
        <w:t xml:space="preserve"> (далее – проведение конференций)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300</w:t>
      </w:r>
      <w:r>
        <w:rPr>
          <w:rFonts w:ascii="Times New Roman" w:hAnsi="Times New Roman"/>
          <w:sz w:val="28"/>
        </w:rPr>
        <w:t xml:space="preserve"> тыс. рублей;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и проведение  олимпиад по родным языкам и краеведению для воспитанников и учащихся образовательных организаций Чукотского автономного округа </w:t>
      </w:r>
      <w:r>
        <w:rPr>
          <w:rFonts w:ascii="Times New Roman" w:hAnsi="Times New Roman"/>
          <w:sz w:val="28"/>
        </w:rPr>
        <w:t xml:space="preserve">(далее – проведение олимпиад) </w:t>
      </w:r>
      <w:r>
        <w:rPr>
          <w:rFonts w:ascii="Times New Roman" w:hAnsi="Times New Roman"/>
          <w:sz w:val="28"/>
        </w:rPr>
        <w:t xml:space="preserve"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900</w:t>
      </w:r>
      <w:r>
        <w:rPr>
          <w:rFonts w:ascii="Times New Roman" w:hAnsi="Times New Roman"/>
          <w:sz w:val="28"/>
        </w:rPr>
        <w:t xml:space="preserve"> тыс. рублей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и проведение окружных конкурсов по родным языкам и краеведению для педагогов и образовательных организаций Чукотского автономного округа (далее – проведение конкурсов) – 500 тыс. рублей.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 нарушение пункта 1 статьи 78.1 БК РФ, перед заключением Соглашения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о предоставлении субсидии на иные цели </w:t>
      </w:r>
      <w:r>
        <w:rPr>
          <w:rFonts w:ascii="Times New Roman" w:hAnsi="Times New Roman"/>
          <w:color w:val="auto"/>
          <w:sz w:val="28"/>
        </w:rPr>
        <w:t xml:space="preserve">Департаментом не обеспечено проведение проверки на предмет соответствия ГАУ ДПО </w:t>
      </w:r>
      <w:r>
        <w:rPr>
          <w:rFonts w:ascii="Times New Roman" w:hAnsi="Times New Roman"/>
          <w:color w:val="auto"/>
          <w:sz w:val="28"/>
        </w:rPr>
        <w:t xml:space="preserve">ЧИРОиПК</w:t>
      </w:r>
      <w:r>
        <w:rPr>
          <w:rFonts w:ascii="Times New Roman" w:hAnsi="Times New Roman"/>
          <w:color w:val="auto"/>
          <w:sz w:val="28"/>
        </w:rPr>
        <w:t xml:space="preserve"> требованиям, в целях соблюдения условий для предоставления субсидии на иные цели, установленным Пор</w:t>
      </w:r>
      <w:r>
        <w:rPr>
          <w:rFonts w:ascii="Times New Roman" w:hAnsi="Times New Roman"/>
          <w:color w:val="auto"/>
          <w:sz w:val="28"/>
        </w:rPr>
        <w:t xml:space="preserve">ядком № 107 – отсутствие у учреждения просроченной задолженности по возврату в окружной бюджет субсидий, бюджетных инвестиций, предоставленных в том числе в  соответствии с иными правовыми актами, и иной просроченной задолженности перед окружным бюджетом. 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b050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 связи с выявленным нарушением Департаментом условий предоставления субсидии на иные цели ГАУ ДПО </w:t>
      </w:r>
      <w:r>
        <w:rPr>
          <w:rFonts w:ascii="Times New Roman" w:hAnsi="Times New Roman"/>
          <w:color w:val="auto"/>
          <w:sz w:val="28"/>
        </w:rPr>
        <w:t xml:space="preserve">ЧИРОиПК</w:t>
      </w:r>
      <w:r>
        <w:rPr>
          <w:rFonts w:ascii="Times New Roman" w:hAnsi="Times New Roman"/>
          <w:color w:val="auto"/>
          <w:sz w:val="28"/>
        </w:rPr>
        <w:t xml:space="preserve">, принято решение о составлении протокола об административном правонарушении, ответственность за которое предусмотрена частью 1 статьи 15.15.5 «Нарушение условий предоставления субсидий» Кодекса Российской Федерации об административных правонарушениях;</w:t>
      </w:r>
      <w:r>
        <w:rPr>
          <w:rFonts w:ascii="Times New Roman" w:hAnsi="Times New Roman"/>
          <w:color w:val="00b050"/>
          <w:sz w:val="28"/>
        </w:rPr>
        <w:t xml:space="preserve"> </w:t>
      </w:r>
      <w:r>
        <w:rPr>
          <w:rFonts w:ascii="Times New Roman" w:hAnsi="Times New Roman"/>
          <w:color w:val="00b050"/>
          <w:sz w:val="28"/>
        </w:rPr>
      </w:r>
      <w:r>
        <w:rPr>
          <w:rFonts w:ascii="Times New Roman" w:hAnsi="Times New Roman"/>
          <w:color w:val="00b050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течение 2025 года в </w:t>
      </w:r>
      <w:r>
        <w:rPr>
          <w:rFonts w:ascii="Times New Roman" w:hAnsi="Times New Roman"/>
          <w:sz w:val="28"/>
        </w:rPr>
        <w:t xml:space="preserve">Соглашение </w:t>
      </w:r>
      <w:r>
        <w:rPr>
          <w:rFonts w:ascii="Times New Roman" w:hAnsi="Times New Roman"/>
          <w:color w:val="auto"/>
          <w:sz w:val="28"/>
        </w:rPr>
        <w:t xml:space="preserve">о предоставлении субсидии </w:t>
      </w:r>
      <w:r>
        <w:rPr>
          <w:rFonts w:ascii="Times New Roman" w:hAnsi="Times New Roman"/>
          <w:color w:val="auto"/>
          <w:sz w:val="28"/>
        </w:rPr>
        <w:t xml:space="preserve">на иные цели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четыре раза вносились изменения. С учетом заключенных дополнительных соглашений размер субсидии на иные цели уменьшен до 770,0 тыс. рублей, в том числе по направлениям: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конференций </w:t>
      </w:r>
      <w:r>
        <w:rPr>
          <w:rFonts w:ascii="Times New Roman" w:hAnsi="Times New Roman"/>
          <w:sz w:val="28"/>
        </w:rPr>
        <w:t xml:space="preserve"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300,0</w:t>
      </w:r>
      <w:r>
        <w:rPr>
          <w:rFonts w:ascii="Times New Roman" w:hAnsi="Times New Roman"/>
          <w:sz w:val="28"/>
        </w:rPr>
        <w:t xml:space="preserve"> тыс. рублей;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 олимпиад </w:t>
      </w:r>
      <w:r>
        <w:rPr>
          <w:rFonts w:ascii="Times New Roman" w:hAnsi="Times New Roman"/>
          <w:sz w:val="28"/>
        </w:rPr>
        <w:t xml:space="preserve"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470,0</w:t>
      </w:r>
      <w:r>
        <w:rPr>
          <w:rFonts w:ascii="Times New Roman" w:hAnsi="Times New Roman"/>
          <w:sz w:val="28"/>
        </w:rPr>
        <w:t xml:space="preserve"> тыс. рублей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конкурсов –  0 тыс. рублей.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Перечисление субсидии на иные </w:t>
      </w:r>
      <w:r>
        <w:rPr>
          <w:rFonts w:ascii="Times New Roman" w:hAnsi="Times New Roman"/>
          <w:sz w:val="28"/>
        </w:rPr>
        <w:t xml:space="preserve">цели  ГАУ</w:t>
      </w:r>
      <w:r>
        <w:rPr>
          <w:rFonts w:ascii="Times New Roman" w:hAnsi="Times New Roman"/>
          <w:sz w:val="28"/>
        </w:rPr>
        <w:t xml:space="preserve"> ДПО </w:t>
      </w:r>
      <w:r>
        <w:rPr>
          <w:rFonts w:ascii="Times New Roman" w:hAnsi="Times New Roman"/>
          <w:sz w:val="28"/>
        </w:rPr>
        <w:t xml:space="preserve">ЧИРОиПК</w:t>
      </w:r>
      <w:r>
        <w:rPr>
          <w:rFonts w:ascii="Times New Roman" w:hAnsi="Times New Roman"/>
          <w:sz w:val="28"/>
        </w:rPr>
        <w:t xml:space="preserve"> осуществлялось на основании сводной заявки на финансирование по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установленной форме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документов, подтверждающих возникновение денежных обязательств и сведений об операциях с целевыми субсидиями,  в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пределах </w:t>
      </w:r>
      <w:r>
        <w:rPr>
          <w:rFonts w:ascii="Times New Roman" w:hAnsi="Times New Roman"/>
          <w:sz w:val="28"/>
        </w:rPr>
        <w:t xml:space="preserve">объемов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установленных </w:t>
      </w:r>
      <w:r>
        <w:rPr>
          <w:rFonts w:ascii="Times New Roman" w:hAnsi="Times New Roman"/>
          <w:sz w:val="28"/>
        </w:rPr>
        <w:t xml:space="preserve">С</w:t>
      </w:r>
      <w:r>
        <w:rPr>
          <w:rFonts w:ascii="Times New Roman" w:hAnsi="Times New Roman"/>
          <w:sz w:val="28"/>
        </w:rPr>
        <w:t xml:space="preserve">оглашением о предоставлении субсидии на иные цели.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Кассовое исполнение субсидии на иные цели составило 666,3 тыс. рублей или 86,5% утвержденных сводной бюджетной росписью бюджетных назначений, в том числе по направлениям: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конференций </w:t>
      </w:r>
      <w:r>
        <w:rPr>
          <w:rFonts w:ascii="Times New Roman" w:hAnsi="Times New Roman"/>
          <w:sz w:val="28"/>
        </w:rPr>
        <w:t xml:space="preserve">–</w:t>
      </w:r>
      <w:r>
        <w:rPr>
          <w:rFonts w:ascii="Times New Roman" w:hAnsi="Times New Roman"/>
          <w:sz w:val="28"/>
        </w:rPr>
        <w:t xml:space="preserve"> 196,7 тыс. рублей или 65,6% от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предусмотренных лимитов бюджетных обязательств;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 олимпиад </w:t>
      </w:r>
      <w:r>
        <w:rPr>
          <w:rFonts w:ascii="Times New Roman" w:hAnsi="Times New Roman"/>
          <w:sz w:val="28"/>
        </w:rPr>
        <w:t xml:space="preserve">–</w:t>
      </w:r>
      <w:r>
        <w:rPr>
          <w:rFonts w:ascii="Times New Roman" w:hAnsi="Times New Roman"/>
          <w:sz w:val="28"/>
        </w:rPr>
        <w:t xml:space="preserve"> 469,6 тыс. рублей или 99,9% от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предусмотренных лимитов бюджетных обязательств.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Фактические расходы по субсидии на иные цели составили </w:t>
      </w:r>
      <w:r>
        <w:rPr>
          <w:rFonts w:ascii="Times New Roman" w:hAnsi="Times New Roman"/>
          <w:sz w:val="28"/>
        </w:rPr>
        <w:t xml:space="preserve">666,3 тыс. рублей или 100,0% от направленных средств</w:t>
      </w:r>
      <w:r>
        <w:rPr>
          <w:rFonts w:ascii="Times New Roman" w:hAnsi="Times New Roman"/>
          <w:sz w:val="28"/>
        </w:rPr>
        <w:t xml:space="preserve">, что подтверждено </w:t>
      </w:r>
      <w:r>
        <w:rPr>
          <w:rFonts w:ascii="Times New Roman" w:hAnsi="Times New Roman"/>
          <w:sz w:val="28"/>
        </w:rPr>
        <w:t xml:space="preserve">первичны</w:t>
      </w:r>
      <w:r>
        <w:rPr>
          <w:rFonts w:ascii="Times New Roman" w:hAnsi="Times New Roman"/>
          <w:sz w:val="28"/>
        </w:rPr>
        <w:t xml:space="preserve">ми</w:t>
      </w:r>
      <w:r>
        <w:rPr>
          <w:rFonts w:ascii="Times New Roman" w:hAnsi="Times New Roman"/>
          <w:sz w:val="28"/>
        </w:rPr>
        <w:t xml:space="preserve"> учетны</w:t>
      </w:r>
      <w:r>
        <w:rPr>
          <w:rFonts w:ascii="Times New Roman" w:hAnsi="Times New Roman"/>
          <w:sz w:val="28"/>
        </w:rPr>
        <w:t xml:space="preserve">ми</w:t>
      </w:r>
      <w:r>
        <w:rPr>
          <w:rFonts w:ascii="Times New Roman" w:hAnsi="Times New Roman"/>
          <w:sz w:val="28"/>
        </w:rPr>
        <w:t xml:space="preserve"> документ</w:t>
      </w:r>
      <w:r>
        <w:rPr>
          <w:rFonts w:ascii="Times New Roman" w:hAnsi="Times New Roman"/>
          <w:sz w:val="28"/>
        </w:rPr>
        <w:t xml:space="preserve">ами</w:t>
      </w:r>
      <w:r>
        <w:rPr>
          <w:rFonts w:ascii="Times New Roman" w:hAnsi="Times New Roman"/>
          <w:sz w:val="28"/>
        </w:rPr>
        <w:t xml:space="preserve"> (договоры, счета, счета-фактуры, акты приемки, товарно-транспортные накладные)</w:t>
      </w:r>
      <w:r>
        <w:rPr>
          <w:rFonts w:ascii="Times New Roman" w:hAnsi="Times New Roman"/>
          <w:sz w:val="28"/>
        </w:rPr>
        <w:t xml:space="preserve">. Р</w:t>
      </w:r>
      <w:r>
        <w:rPr>
          <w:rFonts w:ascii="Times New Roman" w:hAnsi="Times New Roman"/>
          <w:sz w:val="28"/>
        </w:rPr>
        <w:t xml:space="preserve">асходование средств </w:t>
      </w:r>
      <w:r>
        <w:rPr>
          <w:rFonts w:ascii="Times New Roman" w:hAnsi="Times New Roman"/>
          <w:sz w:val="28"/>
        </w:rPr>
        <w:t xml:space="preserve">субсидии  на</w:t>
      </w:r>
      <w:r>
        <w:rPr>
          <w:rFonts w:ascii="Times New Roman" w:hAnsi="Times New Roman"/>
          <w:sz w:val="28"/>
        </w:rPr>
        <w:t xml:space="preserve"> иные цели осуществлялось ГАУ ДПО </w:t>
      </w:r>
      <w:r>
        <w:rPr>
          <w:rFonts w:ascii="Times New Roman" w:hAnsi="Times New Roman"/>
          <w:sz w:val="28"/>
        </w:rPr>
        <w:t xml:space="preserve">ЧИРОиПК</w:t>
      </w:r>
      <w:r>
        <w:rPr>
          <w:rFonts w:ascii="Times New Roman" w:hAnsi="Times New Roman"/>
          <w:sz w:val="28"/>
        </w:rPr>
        <w:t xml:space="preserve"> в соответствии с их целевым назначением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с соблюдением условий Соглашения </w:t>
      </w:r>
      <w:r>
        <w:rPr>
          <w:rFonts w:ascii="Times New Roman" w:hAnsi="Times New Roman"/>
          <w:sz w:val="28"/>
        </w:rPr>
        <w:t xml:space="preserve">о предоставлении субсидии на иные цели </w:t>
      </w:r>
      <w:r>
        <w:rPr>
          <w:rFonts w:ascii="Times New Roman" w:hAnsi="Times New Roman"/>
          <w:sz w:val="28"/>
        </w:rPr>
        <w:t xml:space="preserve">и Порядка № 107.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1 января 2026 года неисполненные бюджетные назначения </w:t>
      </w:r>
      <w:r>
        <w:rPr>
          <w:rFonts w:ascii="Times New Roman" w:hAnsi="Times New Roman"/>
          <w:sz w:val="28"/>
        </w:rPr>
        <w:t xml:space="preserve">по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субсидии на иные цели </w:t>
      </w:r>
      <w:r>
        <w:rPr>
          <w:rFonts w:ascii="Times New Roman" w:hAnsi="Times New Roman"/>
          <w:sz w:val="28"/>
        </w:rPr>
        <w:t xml:space="preserve">составили 103,7 тыс. рублей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По результатам проверки предоставления Департаментом субсиди</w:t>
      </w:r>
      <w:r>
        <w:rPr>
          <w:rFonts w:ascii="Times New Roman" w:hAnsi="Times New Roman"/>
          <w:sz w:val="28"/>
        </w:rPr>
        <w:t xml:space="preserve">и 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иные цели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установлен</w:t>
      </w:r>
      <w:r>
        <w:rPr>
          <w:rFonts w:ascii="Times New Roman" w:hAnsi="Times New Roman"/>
          <w:color w:val="auto"/>
          <w:sz w:val="28"/>
        </w:rPr>
        <w:t xml:space="preserve">о 7 нарушений</w:t>
      </w:r>
      <w:r>
        <w:rPr>
          <w:rFonts w:ascii="Times New Roman" w:hAnsi="Times New Roman"/>
          <w:color w:val="auto"/>
          <w:sz w:val="28"/>
        </w:rPr>
        <w:t xml:space="preserve"> бюджетного законодательства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1)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в нарушение статьи </w:t>
      </w:r>
      <w:r>
        <w:rPr>
          <w:rFonts w:ascii="Times New Roman" w:hAnsi="Times New Roman"/>
          <w:color w:val="auto"/>
          <w:sz w:val="28"/>
        </w:rPr>
        <w:t xml:space="preserve">78.1 БК РФ</w:t>
      </w:r>
      <w:r>
        <w:rPr>
          <w:rFonts w:ascii="Times New Roman" w:hAnsi="Times New Roman"/>
          <w:color w:val="auto"/>
          <w:sz w:val="28"/>
        </w:rPr>
        <w:t xml:space="preserve"> – 6 нарушений, из них: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color w:val="auto"/>
          <w:sz w:val="28"/>
        </w:rPr>
      </w:pPr>
      <w:r/>
      <w:bookmarkStart w:id="0" w:name="undefined"/>
      <w:r>
        <w:rPr>
          <w:rFonts w:ascii="Times New Roman" w:hAnsi="Times New Roman"/>
          <w:color w:val="auto"/>
          <w:sz w:val="28"/>
        </w:rPr>
        <w:t xml:space="preserve">-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С</w:t>
      </w:r>
      <w:r>
        <w:rPr>
          <w:rFonts w:ascii="Times New Roman" w:hAnsi="Times New Roman"/>
          <w:color w:val="auto"/>
          <w:sz w:val="28"/>
        </w:rPr>
        <w:t xml:space="preserve">оглашение  </w:t>
      </w:r>
      <w:r>
        <w:rPr>
          <w:rFonts w:ascii="Times New Roman" w:hAnsi="Times New Roman"/>
          <w:color w:val="auto"/>
          <w:sz w:val="28"/>
        </w:rPr>
        <w:t xml:space="preserve">о</w:t>
      </w:r>
      <w:r>
        <w:rPr>
          <w:rFonts w:ascii="Times New Roman" w:hAnsi="Times New Roman"/>
          <w:color w:val="auto"/>
          <w:sz w:val="28"/>
        </w:rPr>
        <w:t xml:space="preserve"> предоставлении субсидии </w:t>
      </w:r>
      <w:r>
        <w:rPr>
          <w:rFonts w:ascii="Times New Roman" w:hAnsi="Times New Roman"/>
          <w:color w:val="auto"/>
          <w:sz w:val="28"/>
        </w:rPr>
        <w:t xml:space="preserve">на иные цели</w:t>
      </w:r>
      <w:r>
        <w:rPr>
          <w:rFonts w:ascii="Times New Roman" w:hAnsi="Times New Roman"/>
          <w:color w:val="auto"/>
          <w:sz w:val="28"/>
        </w:rPr>
        <w:t xml:space="preserve"> заключено </w:t>
      </w:r>
      <w:r>
        <w:rPr>
          <w:rFonts w:ascii="Times New Roman" w:hAnsi="Times New Roman"/>
          <w:color w:val="auto"/>
          <w:sz w:val="28"/>
        </w:rPr>
        <w:t xml:space="preserve">Департаментом </w:t>
      </w:r>
      <w:r>
        <w:rPr>
          <w:rFonts w:ascii="Times New Roman" w:hAnsi="Times New Roman"/>
          <w:color w:val="auto"/>
          <w:sz w:val="28"/>
        </w:rPr>
        <w:t xml:space="preserve">с нарушением </w:t>
      </w:r>
      <w:r>
        <w:rPr>
          <w:rFonts w:ascii="Times New Roman" w:hAnsi="Times New Roman"/>
          <w:color w:val="auto"/>
          <w:sz w:val="28"/>
        </w:rPr>
        <w:t xml:space="preserve">отбор</w:t>
      </w:r>
      <w:r>
        <w:rPr>
          <w:rFonts w:ascii="Times New Roman" w:hAnsi="Times New Roman"/>
          <w:color w:val="auto"/>
          <w:sz w:val="28"/>
        </w:rPr>
        <w:t xml:space="preserve">а</w:t>
      </w:r>
      <w:r>
        <w:rPr>
          <w:rFonts w:ascii="Times New Roman" w:hAnsi="Times New Roman"/>
          <w:color w:val="auto"/>
          <w:sz w:val="28"/>
        </w:rPr>
        <w:t xml:space="preserve"> получател</w:t>
      </w:r>
      <w:r>
        <w:rPr>
          <w:rFonts w:ascii="Times New Roman" w:hAnsi="Times New Roman"/>
          <w:color w:val="auto"/>
          <w:sz w:val="28"/>
        </w:rPr>
        <w:t xml:space="preserve">я</w:t>
      </w:r>
      <w:r>
        <w:rPr>
          <w:rFonts w:ascii="Times New Roman" w:hAnsi="Times New Roman"/>
          <w:color w:val="auto"/>
          <w:sz w:val="28"/>
        </w:rPr>
        <w:t xml:space="preserve"> субсидии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 –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в отсутствие </w:t>
      </w:r>
      <w:r>
        <w:rPr>
          <w:rFonts w:ascii="Times New Roman" w:hAnsi="Times New Roman"/>
          <w:color w:val="auto"/>
          <w:sz w:val="28"/>
        </w:rPr>
        <w:t xml:space="preserve">процедуры проверки </w:t>
      </w:r>
      <w:r>
        <w:rPr>
          <w:rFonts w:ascii="Times New Roman" w:hAnsi="Times New Roman"/>
          <w:sz w:val="28"/>
        </w:rPr>
        <w:t xml:space="preserve">ГАУ ДПО </w:t>
      </w:r>
      <w:r>
        <w:rPr>
          <w:rFonts w:ascii="Times New Roman" w:hAnsi="Times New Roman"/>
          <w:sz w:val="28"/>
        </w:rPr>
        <w:t xml:space="preserve">ЧИРОиПК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предмет </w:t>
      </w:r>
      <w:r>
        <w:rPr>
          <w:rFonts w:ascii="Times New Roman" w:hAnsi="Times New Roman"/>
          <w:color w:val="auto"/>
          <w:sz w:val="28"/>
        </w:rPr>
        <w:t xml:space="preserve">соответствия установленн</w:t>
      </w:r>
      <w:r>
        <w:rPr>
          <w:rFonts w:ascii="Times New Roman" w:hAnsi="Times New Roman"/>
          <w:color w:val="auto"/>
          <w:sz w:val="28"/>
        </w:rPr>
        <w:t xml:space="preserve">ым Порядком №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107 требованиям 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 нарушение</w:t>
      </w:r>
      <w:r>
        <w:rPr>
          <w:rFonts w:ascii="Times New Roman" w:hAnsi="Times New Roman"/>
          <w:color w:val="auto"/>
          <w:sz w:val="28"/>
        </w:rPr>
        <w:t xml:space="preserve">;</w:t>
      </w:r>
      <w:r>
        <w:t xml:space="preserve"> 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- </w:t>
      </w:r>
      <w:r>
        <w:rPr>
          <w:rFonts w:ascii="Times New Roman" w:hAnsi="Times New Roman"/>
          <w:sz w:val="28"/>
        </w:rPr>
        <w:t xml:space="preserve">заключен</w:t>
      </w:r>
      <w:r>
        <w:rPr>
          <w:rFonts w:ascii="Times New Roman" w:hAnsi="Times New Roman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е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3</w:t>
      </w:r>
      <w:r>
        <w:rPr>
          <w:rFonts w:ascii="Times New Roman" w:hAnsi="Times New Roman"/>
          <w:sz w:val="28"/>
        </w:rPr>
        <w:t xml:space="preserve">-х</w:t>
      </w:r>
      <w:r>
        <w:rPr>
          <w:rFonts w:ascii="Times New Roman" w:hAnsi="Times New Roman"/>
          <w:sz w:val="28"/>
        </w:rPr>
        <w:t xml:space="preserve"> дополнительных соглашени</w:t>
      </w:r>
      <w:r>
        <w:rPr>
          <w:rFonts w:ascii="Times New Roman" w:hAnsi="Times New Roman"/>
          <w:sz w:val="28"/>
        </w:rPr>
        <w:t xml:space="preserve">й</w:t>
      </w:r>
      <w:r>
        <w:rPr>
          <w:rFonts w:ascii="Times New Roman" w:hAnsi="Times New Roman"/>
          <w:sz w:val="28"/>
        </w:rPr>
        <w:t xml:space="preserve"> без решений об изменении размера субсидии, оформленных в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форме приказов</w:t>
      </w:r>
      <w:r>
        <w:rPr>
          <w:rFonts w:ascii="Times New Roman" w:hAnsi="Times New Roman"/>
          <w:sz w:val="28"/>
        </w:rPr>
        <w:t xml:space="preserve"> Департамента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–</w:t>
      </w:r>
      <w:r>
        <w:rPr>
          <w:rFonts w:ascii="Times New Roman" w:hAnsi="Times New Roman"/>
          <w:color w:val="00b050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3 нарушения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- </w:t>
      </w:r>
      <w:r>
        <w:rPr>
          <w:rFonts w:ascii="Times New Roman" w:hAnsi="Times New Roman"/>
          <w:color w:val="auto"/>
          <w:sz w:val="28"/>
        </w:rPr>
        <w:t xml:space="preserve">несоответствие </w:t>
      </w:r>
      <w:r>
        <w:rPr>
          <w:rFonts w:ascii="Times New Roman" w:hAnsi="Times New Roman"/>
          <w:color w:val="auto"/>
          <w:sz w:val="28"/>
        </w:rPr>
        <w:t xml:space="preserve">формы и периодичности представления </w:t>
      </w:r>
      <w:r>
        <w:rPr>
          <w:rFonts w:ascii="Times New Roman" w:hAnsi="Times New Roman"/>
          <w:color w:val="auto"/>
          <w:sz w:val="28"/>
        </w:rPr>
        <w:t xml:space="preserve">Отчета о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реализации плана мероприятий по достижению результатов предоставления субсидии, установленны</w:t>
      </w:r>
      <w:r>
        <w:rPr>
          <w:rFonts w:ascii="Times New Roman" w:hAnsi="Times New Roman"/>
          <w:color w:val="auto"/>
          <w:sz w:val="28"/>
        </w:rPr>
        <w:t xml:space="preserve">х</w:t>
      </w:r>
      <w:r>
        <w:rPr>
          <w:rFonts w:ascii="Times New Roman" w:hAnsi="Times New Roman"/>
          <w:color w:val="auto"/>
          <w:sz w:val="28"/>
        </w:rPr>
        <w:t xml:space="preserve"> Соглашением </w:t>
      </w:r>
      <w:r>
        <w:rPr>
          <w:rFonts w:ascii="Times New Roman" w:hAnsi="Times New Roman"/>
          <w:color w:val="auto"/>
          <w:sz w:val="28"/>
        </w:rPr>
        <w:t xml:space="preserve">о предоставлении субсидии на иные цели</w:t>
      </w:r>
      <w:r>
        <w:rPr>
          <w:rFonts w:ascii="Times New Roman" w:hAnsi="Times New Roman"/>
          <w:color w:val="auto"/>
          <w:sz w:val="28"/>
        </w:rPr>
        <w:t xml:space="preserve">, Порядку  проведен</w:t>
      </w:r>
      <w:r>
        <w:rPr>
          <w:rFonts w:ascii="Times New Roman" w:hAnsi="Times New Roman"/>
          <w:color w:val="auto"/>
          <w:sz w:val="28"/>
        </w:rPr>
        <w:t xml:space="preserve">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  <w:t xml:space="preserve"> утвержденному Приказом Министерства финансов РФ от 27 апреля 2024 № 53н </w:t>
      </w:r>
      <w:r>
        <w:rPr>
          <w:rFonts w:ascii="Times New Roman" w:hAnsi="Times New Roman"/>
          <w:color w:val="auto"/>
          <w:sz w:val="28"/>
        </w:rPr>
        <w:t xml:space="preserve">(далее – Порядок проведения мониторинга)</w:t>
      </w:r>
      <w:r>
        <w:rPr>
          <w:rFonts w:ascii="Times New Roman" w:hAnsi="Times New Roman"/>
          <w:color w:val="auto"/>
          <w:sz w:val="28"/>
        </w:rPr>
        <w:t xml:space="preserve"> – </w:t>
      </w:r>
      <w:r>
        <w:rPr>
          <w:rFonts w:ascii="Times New Roman" w:hAnsi="Times New Roman"/>
          <w:color w:val="auto"/>
          <w:sz w:val="28"/>
        </w:rPr>
        <w:t xml:space="preserve">2 нарушения</w:t>
      </w:r>
      <w:r>
        <w:rPr>
          <w:rFonts w:ascii="Times New Roman" w:hAnsi="Times New Roman"/>
          <w:color w:val="auto"/>
          <w:sz w:val="28"/>
        </w:rPr>
        <w:t xml:space="preserve">;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b/>
          <w:color w:val="auto"/>
          <w:sz w:val="28"/>
          <w:highlight w:val="green"/>
        </w:rPr>
      </w:pPr>
      <w:r>
        <w:rPr>
          <w:rFonts w:ascii="Times New Roman" w:hAnsi="Times New Roman"/>
          <w:color w:val="auto"/>
          <w:sz w:val="28"/>
        </w:rPr>
        <w:t xml:space="preserve">2</w:t>
      </w:r>
      <w:r>
        <w:rPr>
          <w:rFonts w:ascii="Times New Roman" w:hAnsi="Times New Roman"/>
          <w:color w:val="auto"/>
          <w:sz w:val="28"/>
        </w:rPr>
        <w:t xml:space="preserve">) </w:t>
      </w:r>
      <w:bookmarkStart w:id="0" w:name="undefined"/>
      <w:r>
        <w:rPr>
          <w:rFonts w:ascii="Times New Roman" w:hAnsi="Times New Roman"/>
          <w:color w:val="auto"/>
          <w:sz w:val="28"/>
        </w:rPr>
        <w:t xml:space="preserve">в </w:t>
      </w:r>
      <w:r>
        <w:rPr>
          <w:rFonts w:ascii="Times New Roman" w:hAnsi="Times New Roman"/>
          <w:color w:val="auto"/>
          <w:sz w:val="28"/>
        </w:rPr>
        <w:t xml:space="preserve">нарушение статьи 158 БК РФ</w:t>
      </w:r>
      <w:r>
        <w:rPr>
          <w:rFonts w:ascii="Times New Roman" w:hAnsi="Times New Roman"/>
          <w:color w:val="auto"/>
          <w:sz w:val="28"/>
        </w:rPr>
        <w:t xml:space="preserve">, </w:t>
      </w:r>
      <w:bookmarkEnd w:id="0"/>
      <w:r>
        <w:rPr>
          <w:rFonts w:ascii="Times New Roman" w:hAnsi="Times New Roman"/>
          <w:color w:val="auto"/>
          <w:sz w:val="28"/>
        </w:rPr>
        <w:t xml:space="preserve">Департаментом</w:t>
      </w:r>
      <w:r>
        <w:rPr>
          <w:rFonts w:ascii="Times New Roman" w:hAnsi="Times New Roman"/>
          <w:color w:val="auto"/>
          <w:sz w:val="28"/>
        </w:rPr>
        <w:t xml:space="preserve"> не осуществлены надлежащим образом полномочия </w:t>
      </w:r>
      <w:r>
        <w:rPr>
          <w:rFonts w:ascii="Times New Roman" w:hAnsi="Times New Roman"/>
          <w:color w:val="auto"/>
          <w:sz w:val="28"/>
        </w:rPr>
        <w:t xml:space="preserve">главн</w:t>
      </w:r>
      <w:r>
        <w:rPr>
          <w:rFonts w:ascii="Times New Roman" w:hAnsi="Times New Roman"/>
          <w:color w:val="auto"/>
          <w:sz w:val="28"/>
        </w:rPr>
        <w:t xml:space="preserve">ого</w:t>
      </w:r>
      <w:r>
        <w:rPr>
          <w:rFonts w:ascii="Times New Roman" w:hAnsi="Times New Roman"/>
          <w:color w:val="auto"/>
          <w:sz w:val="28"/>
        </w:rPr>
        <w:t xml:space="preserve"> распорядител</w:t>
      </w:r>
      <w:r>
        <w:rPr>
          <w:rFonts w:ascii="Times New Roman" w:hAnsi="Times New Roman"/>
          <w:color w:val="auto"/>
          <w:sz w:val="28"/>
        </w:rPr>
        <w:t xml:space="preserve">я</w:t>
      </w:r>
      <w:r>
        <w:rPr>
          <w:rFonts w:ascii="Times New Roman" w:hAnsi="Times New Roman"/>
          <w:color w:val="auto"/>
          <w:sz w:val="28"/>
        </w:rPr>
        <w:t xml:space="preserve"> (распорядител</w:t>
      </w:r>
      <w:r>
        <w:rPr>
          <w:rFonts w:ascii="Times New Roman" w:hAnsi="Times New Roman"/>
          <w:color w:val="auto"/>
          <w:sz w:val="28"/>
        </w:rPr>
        <w:t xml:space="preserve">я</w:t>
      </w:r>
      <w:r>
        <w:rPr>
          <w:rFonts w:ascii="Times New Roman" w:hAnsi="Times New Roman"/>
          <w:color w:val="auto"/>
          <w:sz w:val="28"/>
        </w:rPr>
        <w:t xml:space="preserve">) бюджетных средств</w:t>
      </w:r>
      <w:r>
        <w:rPr>
          <w:rFonts w:ascii="Times New Roman" w:hAnsi="Times New Roman"/>
          <w:color w:val="auto"/>
          <w:sz w:val="28"/>
        </w:rPr>
        <w:t xml:space="preserve"> при </w:t>
      </w:r>
      <w:r>
        <w:rPr>
          <w:rFonts w:ascii="Times New Roman" w:hAnsi="Times New Roman"/>
          <w:color w:val="auto"/>
          <w:sz w:val="28"/>
        </w:rPr>
        <w:t xml:space="preserve">проверк</w:t>
      </w:r>
      <w:r>
        <w:rPr>
          <w:rFonts w:ascii="Times New Roman" w:hAnsi="Times New Roman"/>
          <w:color w:val="auto"/>
          <w:sz w:val="28"/>
        </w:rPr>
        <w:t xml:space="preserve">е</w:t>
      </w:r>
      <w:r>
        <w:rPr>
          <w:rFonts w:ascii="Times New Roman" w:hAnsi="Times New Roman"/>
          <w:color w:val="auto"/>
          <w:sz w:val="28"/>
        </w:rPr>
        <w:t xml:space="preserve"> представленного ГАУ ДПО </w:t>
      </w:r>
      <w:r>
        <w:rPr>
          <w:rFonts w:ascii="Times New Roman" w:hAnsi="Times New Roman"/>
          <w:color w:val="auto"/>
          <w:sz w:val="28"/>
        </w:rPr>
        <w:t xml:space="preserve">ЧИРОиПК</w:t>
      </w:r>
      <w:r>
        <w:rPr>
          <w:rFonts w:ascii="Times New Roman" w:hAnsi="Times New Roman"/>
          <w:color w:val="auto"/>
          <w:sz w:val="28"/>
        </w:rPr>
        <w:t xml:space="preserve"> отчета о достижении значений результатов предоставления субсидии по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Соглашению </w:t>
      </w:r>
      <w:r>
        <w:rPr>
          <w:rFonts w:ascii="Times New Roman" w:hAnsi="Times New Roman"/>
          <w:color w:val="auto"/>
          <w:sz w:val="28"/>
        </w:rPr>
        <w:t xml:space="preserve">о предоставлении субсидии на иные цели </w:t>
      </w:r>
      <w:r>
        <w:rPr>
          <w:rFonts w:ascii="Times New Roman" w:hAnsi="Times New Roman"/>
          <w:color w:val="auto"/>
          <w:sz w:val="28"/>
        </w:rPr>
        <w:t xml:space="preserve">– 1 нарушение. </w:t>
      </w:r>
      <w:r>
        <w:rPr>
          <w:rFonts w:ascii="Times New Roman" w:hAnsi="Times New Roman"/>
          <w:b/>
          <w:color w:val="auto"/>
          <w:sz w:val="28"/>
          <w:highlight w:val="green"/>
        </w:rPr>
      </w:r>
      <w:r>
        <w:rPr>
          <w:rFonts w:ascii="Times New Roman" w:hAnsi="Times New Roman"/>
          <w:b/>
          <w:color w:val="auto"/>
          <w:sz w:val="28"/>
          <w:highlight w:val="green"/>
        </w:rPr>
      </w:r>
    </w:p>
    <w:p>
      <w:pPr>
        <w:jc w:val="center"/>
        <w:spacing w:before="0" w:beforeAutospacing="0" w:after="0" w:afterAutospacing="0" w:line="240" w:lineRule="auto"/>
        <w:tabs>
          <w:tab w:val="left" w:pos="992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Соблюдение условий и порядка предоставления грантов некоммерческим организациям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на проведение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beforeAutospacing="0" w:after="0" w:afterAutospacing="0" w:line="240" w:lineRule="auto"/>
        <w:tabs>
          <w:tab w:val="left" w:pos="992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Окружного фестиваля родных языков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мероприятия </w:t>
      </w:r>
      <w:r>
        <w:rPr>
          <w:rFonts w:ascii="Times New Roman" w:hAnsi="Times New Roman"/>
          <w:sz w:val="28"/>
        </w:rPr>
        <w:t xml:space="preserve">«Гранты некоммерческим организациям 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проведение Окружного фестиваля родных языков»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КПМ «Поддержка, сохранение и развитие родных языков»</w:t>
      </w:r>
      <w:r>
        <w:rPr>
          <w:rFonts w:ascii="Times New Roman" w:hAnsi="Times New Roman"/>
          <w:sz w:val="28"/>
        </w:rPr>
        <w:t xml:space="preserve"> осуществлялась в соответствии с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Поряд</w:t>
      </w:r>
      <w:r>
        <w:rPr>
          <w:rFonts w:ascii="Times New Roman" w:hAnsi="Times New Roman"/>
          <w:sz w:val="28"/>
        </w:rPr>
        <w:t xml:space="preserve">ком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 грантов некоммерческим организациям 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проведение Окружного фестиваля родных языков</w:t>
      </w:r>
      <w:r>
        <w:rPr>
          <w:rStyle w:val="4381"/>
          <w:rFonts w:ascii="Times New Roman" w:hAnsi="Times New Roman"/>
          <w:sz w:val="28"/>
        </w:rPr>
        <w:footnoteReference w:id="23"/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По результатам проверки </w:t>
      </w:r>
      <w:r>
        <w:rPr>
          <w:rFonts w:ascii="Times New Roman" w:hAnsi="Times New Roman"/>
          <w:color w:val="auto"/>
          <w:sz w:val="28"/>
        </w:rPr>
        <w:t xml:space="preserve">положений </w:t>
      </w:r>
      <w:r>
        <w:rPr>
          <w:rFonts w:ascii="Times New Roman" w:hAnsi="Times New Roman"/>
          <w:color w:val="auto"/>
          <w:sz w:val="28"/>
        </w:rPr>
        <w:t xml:space="preserve">Порядка № 297 </w:t>
      </w:r>
      <w:r>
        <w:rPr>
          <w:rFonts w:ascii="Times New Roman" w:hAnsi="Times New Roman"/>
          <w:color w:val="auto"/>
          <w:sz w:val="28"/>
        </w:rPr>
        <w:t xml:space="preserve">на предмет соответствия действующему законодательству </w:t>
      </w:r>
      <w:r>
        <w:rPr>
          <w:rFonts w:ascii="Times New Roman" w:hAnsi="Times New Roman"/>
          <w:color w:val="auto"/>
          <w:sz w:val="28"/>
        </w:rPr>
        <w:t xml:space="preserve">установлено: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70c0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приведение его положений в соответствие с Общими требованиями</w:t>
      </w:r>
      <w:r>
        <w:rPr>
          <w:rStyle w:val="4381"/>
          <w:rFonts w:ascii="Times New Roman" w:hAnsi="Times New Roman"/>
          <w:color w:val="auto"/>
          <w:sz w:val="28"/>
        </w:rPr>
        <w:footnoteReference w:id="24"/>
      </w:r>
      <w:r>
        <w:rPr>
          <w:rFonts w:ascii="Times New Roman" w:hAnsi="Times New Roman"/>
          <w:color w:val="auto"/>
          <w:sz w:val="28"/>
        </w:rPr>
        <w:t xml:space="preserve"> поз</w:t>
      </w:r>
      <w:r>
        <w:rPr>
          <w:rFonts w:ascii="Times New Roman" w:hAnsi="Times New Roman"/>
          <w:color w:val="auto"/>
          <w:sz w:val="28"/>
        </w:rPr>
        <w:t xml:space="preserve">днее</w:t>
      </w:r>
      <w:r>
        <w:rPr>
          <w:rFonts w:ascii="Times New Roman" w:hAnsi="Times New Roman"/>
          <w:color w:val="auto"/>
          <w:sz w:val="28"/>
        </w:rPr>
        <w:t xml:space="preserve"> установленного </w:t>
      </w:r>
      <w:r>
        <w:rPr>
          <w:rFonts w:ascii="Times New Roman" w:hAnsi="Times New Roman"/>
          <w:color w:val="auto"/>
          <w:sz w:val="28"/>
        </w:rPr>
        <w:t xml:space="preserve">Постановлением №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1782</w:t>
      </w:r>
      <w:r>
        <w:rPr>
          <w:rFonts w:ascii="Times New Roman" w:hAnsi="Times New Roman"/>
          <w:color w:val="auto"/>
          <w:sz w:val="28"/>
        </w:rPr>
        <w:t xml:space="preserve"> срока</w:t>
      </w:r>
      <w:r>
        <w:rPr>
          <w:rFonts w:ascii="Times New Roman" w:hAnsi="Times New Roman"/>
          <w:color w:val="auto"/>
          <w:sz w:val="28"/>
        </w:rPr>
        <w:t xml:space="preserve">, после 1 января 2025 года</w:t>
      </w:r>
      <w:r>
        <w:rPr>
          <w:rFonts w:ascii="Times New Roman" w:hAnsi="Times New Roman"/>
          <w:color w:val="auto"/>
          <w:sz w:val="28"/>
        </w:rPr>
        <w:t xml:space="preserve"> (утвержден Постановлением Правительства Чукотского автономного округа от 20 января </w:t>
      </w:r>
      <w:r>
        <w:rPr>
          <w:rFonts w:ascii="Times New Roman" w:hAnsi="Times New Roman"/>
          <w:color w:val="auto"/>
          <w:sz w:val="28"/>
        </w:rPr>
        <w:t xml:space="preserve">2025  года</w:t>
      </w:r>
      <w:r>
        <w:rPr>
          <w:rFonts w:ascii="Times New Roman" w:hAnsi="Times New Roman"/>
          <w:color w:val="auto"/>
          <w:sz w:val="28"/>
        </w:rPr>
        <w:t xml:space="preserve"> № 19);</w:t>
      </w:r>
      <w:r>
        <w:rPr>
          <w:rFonts w:ascii="Times New Roman" w:hAnsi="Times New Roman"/>
          <w:b/>
          <w:sz w:val="28"/>
          <w:highlight w:val="green"/>
        </w:rPr>
        <w:t xml:space="preserve"> </w:t>
      </w:r>
      <w:r>
        <w:rPr>
          <w:rFonts w:ascii="Times New Roman" w:hAnsi="Times New Roman"/>
          <w:color w:val="0070c0"/>
          <w:sz w:val="28"/>
        </w:rPr>
      </w:r>
      <w:r>
        <w:rPr>
          <w:rFonts w:ascii="Times New Roman" w:hAnsi="Times New Roman"/>
          <w:color w:val="0070c0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  <w:highlight w:val="white"/>
        </w:rPr>
      </w:pPr>
      <w:r>
        <w:rPr>
          <w:rFonts w:ascii="Times New Roman" w:hAnsi="Times New Roman"/>
          <w:color w:val="auto"/>
          <w:sz w:val="28"/>
          <w:highlight w:val="white"/>
        </w:rPr>
        <w:t xml:space="preserve">несоответствие утвержденного </w:t>
      </w:r>
      <w:r>
        <w:rPr>
          <w:rFonts w:ascii="Times New Roman" w:hAnsi="Times New Roman"/>
          <w:color w:val="auto"/>
          <w:sz w:val="28"/>
        </w:rPr>
        <w:t xml:space="preserve">типа</w:t>
      </w:r>
      <w:r>
        <w:rPr>
          <w:rFonts w:ascii="Times New Roman" w:hAnsi="Times New Roman"/>
          <w:color w:val="auto"/>
          <w:sz w:val="28"/>
        </w:rPr>
        <w:t xml:space="preserve"> результата предоставления гранта («приобретение товаров, работ, услуг») фактической цели его предоставления</w:t>
      </w:r>
      <w:r>
        <w:rPr>
          <w:rFonts w:ascii="Times New Roman" w:hAnsi="Times New Roman"/>
          <w:color w:val="auto"/>
          <w:sz w:val="28"/>
        </w:rPr>
        <w:t xml:space="preserve">, что влечет</w:t>
      </w:r>
      <w:r>
        <w:rPr>
          <w:rFonts w:ascii="Times New Roman" w:hAnsi="Times New Roman"/>
          <w:color w:val="auto"/>
          <w:sz w:val="28"/>
        </w:rPr>
        <w:t xml:space="preserve"> невозможность </w:t>
      </w:r>
      <w:r>
        <w:rPr>
          <w:rFonts w:ascii="Times New Roman" w:hAnsi="Times New Roman"/>
          <w:color w:val="auto"/>
          <w:sz w:val="28"/>
        </w:rPr>
        <w:t xml:space="preserve">корректного </w:t>
      </w:r>
      <w:r>
        <w:rPr>
          <w:rFonts w:ascii="Times New Roman" w:hAnsi="Times New Roman"/>
          <w:color w:val="auto"/>
          <w:sz w:val="28"/>
        </w:rPr>
        <w:t xml:space="preserve">осуществления мониторинга достижения результатов требованиям Порядка проведения мониторинга. Окружной фестиваль родных языков является массовым мероприятием, в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связи с чем достижение результатов предоставления гранта </w:t>
      </w:r>
      <w:r>
        <w:rPr>
          <w:rFonts w:ascii="Times New Roman" w:hAnsi="Times New Roman"/>
          <w:color w:val="auto"/>
          <w:sz w:val="28"/>
        </w:rPr>
        <w:t xml:space="preserve">необходимо </w:t>
      </w:r>
      <w:r>
        <w:rPr>
          <w:rFonts w:ascii="Times New Roman" w:hAnsi="Times New Roman"/>
          <w:color w:val="auto"/>
          <w:sz w:val="28"/>
        </w:rPr>
        <w:t xml:space="preserve">контролировать через выполнение контрольных точек по типу результата «Проведение массовых мероприятий».</w:t>
      </w:r>
      <w:r>
        <w:rPr>
          <w:rFonts w:ascii="Times New Roman" w:hAnsi="Times New Roman"/>
          <w:color w:val="auto"/>
          <w:sz w:val="28"/>
          <w:highlight w:val="white"/>
        </w:rPr>
      </w:r>
      <w:r>
        <w:rPr>
          <w:rFonts w:ascii="Times New Roman" w:hAnsi="Times New Roman"/>
          <w:color w:val="auto"/>
          <w:sz w:val="28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highlight w:val="yellow"/>
        </w:rPr>
      </w:pPr>
      <w:r/>
      <w:bookmarkStart w:id="0" w:name="undefined"/>
      <w:r>
        <w:rPr>
          <w:rFonts w:ascii="Times New Roman" w:hAnsi="Times New Roman"/>
          <w:sz w:val="28"/>
        </w:rPr>
        <w:t xml:space="preserve">Объем финансовых ресурсов,</w:t>
      </w:r>
      <w:bookmarkEnd w:id="0"/>
      <w:r>
        <w:rPr>
          <w:rFonts w:ascii="Times New Roman" w:hAnsi="Times New Roman"/>
          <w:sz w:val="28"/>
        </w:rPr>
        <w:t xml:space="preserve"> предусмотренных </w:t>
      </w:r>
      <w:r>
        <w:rPr>
          <w:rFonts w:ascii="Times New Roman" w:hAnsi="Times New Roman"/>
          <w:sz w:val="28"/>
        </w:rPr>
        <w:t xml:space="preserve">в 2025 году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реализацию </w:t>
      </w:r>
      <w:r>
        <w:rPr>
          <w:rFonts w:ascii="Times New Roman" w:hAnsi="Times New Roman"/>
          <w:sz w:val="28"/>
        </w:rPr>
        <w:t xml:space="preserve">мероприятия </w:t>
      </w:r>
      <w:r>
        <w:rPr>
          <w:rFonts w:ascii="Times New Roman" w:hAnsi="Times New Roman"/>
          <w:sz w:val="28"/>
        </w:rPr>
        <w:t xml:space="preserve">«Гранты некоммерческим организациям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проведение Окружного фестиваля родных языков»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соста</w:t>
      </w:r>
      <w:r>
        <w:rPr>
          <w:rFonts w:ascii="Times New Roman" w:hAnsi="Times New Roman"/>
          <w:sz w:val="28"/>
        </w:rPr>
        <w:t xml:space="preserve">вил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3 361,4</w:t>
      </w:r>
      <w:r>
        <w:rPr>
          <w:rFonts w:ascii="Times New Roman" w:hAnsi="Times New Roman"/>
          <w:sz w:val="28"/>
        </w:rPr>
        <w:t xml:space="preserve"> тыс. рублей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Объем бюджетных ассигнований, утвержденный Законом о бюджете на 2025 год, состав</w:t>
      </w:r>
      <w:r>
        <w:rPr>
          <w:rFonts w:ascii="Times New Roman" w:hAnsi="Times New Roman"/>
          <w:sz w:val="28"/>
        </w:rPr>
        <w:t xml:space="preserve">ил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4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000</w:t>
      </w:r>
      <w:r>
        <w:rPr>
          <w:rFonts w:ascii="Times New Roman" w:hAnsi="Times New Roman"/>
          <w:sz w:val="28"/>
        </w:rPr>
        <w:t xml:space="preserve">,0 тыс. рублей.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Объем финансов</w:t>
      </w:r>
      <w:r>
        <w:rPr>
          <w:rFonts w:ascii="Times New Roman" w:hAnsi="Times New Roman"/>
          <w:sz w:val="28"/>
        </w:rPr>
        <w:t xml:space="preserve">ого обеспечения</w:t>
      </w:r>
      <w:r>
        <w:t xml:space="preserve"> </w:t>
      </w:r>
      <w:r>
        <w:rPr>
          <w:rFonts w:ascii="Times New Roman" w:hAnsi="Times New Roman"/>
          <w:sz w:val="28"/>
        </w:rPr>
        <w:t xml:space="preserve">на проведение Окружного фестиваля родных языков</w:t>
      </w:r>
      <w:r>
        <w:rPr>
          <w:rFonts w:ascii="Times New Roman" w:hAnsi="Times New Roman"/>
          <w:sz w:val="28"/>
        </w:rPr>
        <w:t xml:space="preserve"> в объеме </w:t>
      </w:r>
      <w:r>
        <w:rPr>
          <w:rFonts w:ascii="Times New Roman" w:hAnsi="Times New Roman"/>
          <w:sz w:val="28"/>
        </w:rPr>
        <w:t xml:space="preserve">3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361,4 тыс. рублей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соответствует показателям</w:t>
      </w:r>
      <w:r>
        <w:rPr>
          <w:rFonts w:ascii="Times New Roman" w:hAnsi="Times New Roman"/>
          <w:sz w:val="28"/>
        </w:rPr>
        <w:t xml:space="preserve">,</w:t>
      </w:r>
      <w:r>
        <w:rPr>
          <w:rFonts w:ascii="Times New Roman" w:hAnsi="Times New Roman"/>
          <w:sz w:val="28"/>
        </w:rPr>
        <w:t xml:space="preserve"> отраженным в сводной бюджетной росписи от 30 декабря 2025 года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yellow"/>
        </w:rPr>
      </w:r>
      <w:r>
        <w:rPr>
          <w:rFonts w:ascii="Times New Roman" w:hAnsi="Times New Roman"/>
          <w:sz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Предоставление Департаментом гранта осуществлялось посредством проведения конкурсного отбора некоммерческих организаций.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 для получения </w:t>
      </w:r>
      <w:r>
        <w:rPr>
          <w:rFonts w:ascii="Times New Roman" w:hAnsi="Times New Roman"/>
          <w:sz w:val="28"/>
        </w:rPr>
        <w:t xml:space="preserve">гранта</w:t>
      </w:r>
      <w:r>
        <w:rPr>
          <w:rFonts w:ascii="Times New Roman" w:hAnsi="Times New Roman"/>
          <w:sz w:val="28"/>
        </w:rPr>
        <w:t xml:space="preserve"> в соответствии с требованиями</w:t>
      </w:r>
      <w:r>
        <w:rPr>
          <w:rFonts w:ascii="Times New Roman" w:hAnsi="Times New Roman"/>
          <w:sz w:val="28"/>
        </w:rPr>
        <w:t xml:space="preserve">, установленным Порядком №</w:t>
      </w:r>
      <w:r>
        <w:rPr>
          <w:rFonts w:ascii="Times New Roman" w:hAnsi="Times New Roman"/>
          <w:sz w:val="28"/>
          <w:lang w:val="en-US"/>
        </w:rPr>
        <w:t xml:space="preserve"> </w:t>
      </w:r>
      <w:r>
        <w:rPr>
          <w:rFonts w:ascii="Times New Roman" w:hAnsi="Times New Roman"/>
          <w:sz w:val="28"/>
        </w:rPr>
        <w:t xml:space="preserve">297</w:t>
      </w:r>
      <w:r>
        <w:rPr>
          <w:rFonts w:ascii="Times New Roman" w:hAnsi="Times New Roman"/>
          <w:sz w:val="28"/>
        </w:rPr>
        <w:t xml:space="preserve">, представ</w:t>
      </w:r>
      <w:r>
        <w:rPr>
          <w:rFonts w:ascii="Times New Roman" w:hAnsi="Times New Roman"/>
          <w:sz w:val="28"/>
        </w:rPr>
        <w:t xml:space="preserve">лены</w:t>
      </w:r>
      <w:r>
        <w:rPr>
          <w:rFonts w:ascii="Times New Roman" w:hAnsi="Times New Roman"/>
          <w:sz w:val="28"/>
        </w:rPr>
        <w:t xml:space="preserve"> некоммерческ</w:t>
      </w:r>
      <w:r>
        <w:rPr>
          <w:rFonts w:ascii="Times New Roman" w:hAnsi="Times New Roman"/>
          <w:sz w:val="28"/>
        </w:rPr>
        <w:t xml:space="preserve">ой</w:t>
      </w:r>
      <w:r>
        <w:rPr>
          <w:rFonts w:ascii="Times New Roman" w:hAnsi="Times New Roman"/>
          <w:sz w:val="28"/>
        </w:rPr>
        <w:t xml:space="preserve"> организаци</w:t>
      </w:r>
      <w:r>
        <w:rPr>
          <w:rFonts w:ascii="Times New Roman" w:hAnsi="Times New Roman"/>
          <w:sz w:val="28"/>
        </w:rPr>
        <w:t xml:space="preserve">ей –</w:t>
      </w:r>
      <w:r>
        <w:rPr>
          <w:rFonts w:ascii="Times New Roman" w:hAnsi="Times New Roman"/>
          <w:sz w:val="28"/>
        </w:rPr>
        <w:t xml:space="preserve"> Региональн</w:t>
      </w:r>
      <w:r>
        <w:rPr>
          <w:rFonts w:ascii="Times New Roman" w:hAnsi="Times New Roman"/>
          <w:sz w:val="28"/>
        </w:rPr>
        <w:t xml:space="preserve">ая</w:t>
      </w:r>
      <w:r>
        <w:rPr>
          <w:rFonts w:ascii="Times New Roman" w:hAnsi="Times New Roman"/>
          <w:sz w:val="28"/>
        </w:rPr>
        <w:t xml:space="preserve"> общественн</w:t>
      </w:r>
      <w:r>
        <w:rPr>
          <w:rFonts w:ascii="Times New Roman" w:hAnsi="Times New Roman"/>
          <w:sz w:val="28"/>
        </w:rPr>
        <w:t xml:space="preserve">ая</w:t>
      </w:r>
      <w:r>
        <w:rPr>
          <w:rFonts w:ascii="Times New Roman" w:hAnsi="Times New Roman"/>
          <w:sz w:val="28"/>
        </w:rPr>
        <w:t xml:space="preserve"> организаци</w:t>
      </w:r>
      <w:r>
        <w:rPr>
          <w:rFonts w:ascii="Times New Roman" w:hAnsi="Times New Roman"/>
          <w:sz w:val="28"/>
        </w:rPr>
        <w:t xml:space="preserve">я</w:t>
      </w:r>
      <w:r>
        <w:rPr>
          <w:rFonts w:ascii="Times New Roman" w:hAnsi="Times New Roman"/>
          <w:sz w:val="28"/>
        </w:rPr>
        <w:t xml:space="preserve"> сохранения чукотского языка Чукотского автономного округа «</w:t>
      </w:r>
      <w:r>
        <w:rPr>
          <w:rFonts w:ascii="Times New Roman" w:hAnsi="Times New Roman"/>
          <w:sz w:val="28"/>
        </w:rPr>
        <w:t xml:space="preserve">Чычеткин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вэтгав</w:t>
      </w:r>
      <w:r>
        <w:rPr>
          <w:rFonts w:ascii="Times New Roman" w:hAnsi="Times New Roman"/>
          <w:sz w:val="28"/>
        </w:rPr>
        <w:t xml:space="preserve">» (Родное слово) (далее – </w:t>
      </w:r>
      <w:r>
        <w:rPr>
          <w:rFonts w:ascii="Times New Roman" w:hAnsi="Times New Roman"/>
          <w:sz w:val="28"/>
        </w:rPr>
        <w:t xml:space="preserve">РОО «</w:t>
      </w:r>
      <w:r>
        <w:rPr>
          <w:rFonts w:ascii="Times New Roman" w:hAnsi="Times New Roman"/>
          <w:sz w:val="28"/>
        </w:rPr>
        <w:t xml:space="preserve">Чычеткин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вэтгав</w:t>
      </w:r>
      <w:r>
        <w:rPr>
          <w:rFonts w:ascii="Times New Roman" w:hAnsi="Times New Roman"/>
          <w:sz w:val="28"/>
        </w:rPr>
        <w:t xml:space="preserve">)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Между Департаментом и </w:t>
      </w:r>
      <w:r>
        <w:rPr>
          <w:rFonts w:ascii="Times New Roman" w:hAnsi="Times New Roman"/>
          <w:sz w:val="28"/>
        </w:rPr>
        <w:t xml:space="preserve">РОО «</w:t>
      </w:r>
      <w:r>
        <w:rPr>
          <w:rFonts w:ascii="Times New Roman" w:hAnsi="Times New Roman"/>
          <w:sz w:val="28"/>
        </w:rPr>
        <w:t xml:space="preserve">Чычеткин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вэтгав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заключено Соглашение о предоставлении гранта в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форме субсидии на проведение Окружного фестиваля родных языков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28 апреля 2025 года № 02-15/260 </w:t>
      </w:r>
      <w:r>
        <w:rPr>
          <w:rFonts w:ascii="Times New Roman" w:hAnsi="Times New Roman"/>
          <w:sz w:val="28"/>
        </w:rPr>
        <w:t xml:space="preserve">(далее – Соглашение </w:t>
      </w:r>
      <w:r>
        <w:rPr>
          <w:rFonts w:ascii="Times New Roman" w:hAnsi="Times New Roman"/>
          <w:sz w:val="28"/>
        </w:rPr>
        <w:t xml:space="preserve">о предоставлении гранта</w:t>
      </w:r>
      <w:r>
        <w:rPr>
          <w:rFonts w:ascii="Times New Roman" w:hAnsi="Times New Roman"/>
          <w:sz w:val="28"/>
        </w:rPr>
        <w:t xml:space="preserve"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размере 2 500,0 тыс. рублей.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 нарушение пункта 4 статьи 78.1 БК РФ, Порядка № 297 Департамент</w:t>
      </w:r>
      <w:r>
        <w:rPr>
          <w:rFonts w:ascii="Times New Roman" w:hAnsi="Times New Roman"/>
          <w:color w:val="auto"/>
          <w:sz w:val="28"/>
        </w:rPr>
        <w:t xml:space="preserve">ом</w:t>
      </w:r>
      <w:r>
        <w:rPr>
          <w:rFonts w:ascii="Times New Roman" w:hAnsi="Times New Roman"/>
          <w:color w:val="auto"/>
          <w:sz w:val="28"/>
        </w:rPr>
        <w:t xml:space="preserve"> не обеспеч</w:t>
      </w:r>
      <w:r>
        <w:rPr>
          <w:rFonts w:ascii="Times New Roman" w:hAnsi="Times New Roman"/>
          <w:color w:val="auto"/>
          <w:sz w:val="28"/>
        </w:rPr>
        <w:t xml:space="preserve">ено</w:t>
      </w:r>
      <w:r>
        <w:rPr>
          <w:rFonts w:ascii="Times New Roman" w:hAnsi="Times New Roman"/>
          <w:color w:val="auto"/>
          <w:sz w:val="28"/>
        </w:rPr>
        <w:t xml:space="preserve"> проведение проверки с</w:t>
      </w:r>
      <w:r>
        <w:rPr>
          <w:rFonts w:ascii="Times New Roman" w:hAnsi="Times New Roman"/>
          <w:color w:val="auto"/>
          <w:sz w:val="28"/>
        </w:rPr>
        <w:t xml:space="preserve">оответстви</w:t>
      </w:r>
      <w:r>
        <w:rPr>
          <w:rFonts w:ascii="Times New Roman" w:hAnsi="Times New Roman"/>
          <w:color w:val="auto"/>
          <w:sz w:val="28"/>
        </w:rPr>
        <w:t xml:space="preserve">я РОО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«</w:t>
      </w:r>
      <w:r>
        <w:rPr>
          <w:rFonts w:ascii="Times New Roman" w:hAnsi="Times New Roman"/>
          <w:color w:val="auto"/>
          <w:sz w:val="28"/>
        </w:rPr>
        <w:t xml:space="preserve">Чычеткин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вэтгав</w:t>
      </w:r>
      <w:r>
        <w:rPr>
          <w:rFonts w:ascii="Times New Roman" w:hAnsi="Times New Roman"/>
          <w:color w:val="auto"/>
          <w:sz w:val="28"/>
        </w:rPr>
        <w:t xml:space="preserve">» </w:t>
      </w:r>
      <w:r>
        <w:rPr>
          <w:rFonts w:ascii="Times New Roman" w:hAnsi="Times New Roman"/>
          <w:color w:val="auto"/>
          <w:sz w:val="28"/>
        </w:rPr>
        <w:t xml:space="preserve">ряду </w:t>
      </w:r>
      <w:r>
        <w:rPr>
          <w:rFonts w:ascii="Times New Roman" w:hAnsi="Times New Roman"/>
          <w:color w:val="auto"/>
          <w:sz w:val="28"/>
        </w:rPr>
        <w:t xml:space="preserve">требовани</w:t>
      </w:r>
      <w:r>
        <w:rPr>
          <w:rFonts w:ascii="Times New Roman" w:hAnsi="Times New Roman"/>
          <w:color w:val="auto"/>
          <w:sz w:val="28"/>
        </w:rPr>
        <w:t xml:space="preserve">й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в целях соблюдения условий предоставления гранта, </w:t>
      </w:r>
      <w:r>
        <w:rPr>
          <w:rFonts w:ascii="Times New Roman" w:hAnsi="Times New Roman"/>
          <w:color w:val="auto"/>
          <w:sz w:val="28"/>
        </w:rPr>
        <w:t xml:space="preserve">установленны</w:t>
      </w:r>
      <w:r>
        <w:rPr>
          <w:rFonts w:ascii="Times New Roman" w:hAnsi="Times New Roman"/>
          <w:color w:val="auto"/>
          <w:sz w:val="28"/>
        </w:rPr>
        <w:t xml:space="preserve">х</w:t>
      </w:r>
      <w:r>
        <w:rPr>
          <w:rFonts w:ascii="Times New Roman" w:hAnsi="Times New Roman"/>
          <w:color w:val="auto"/>
          <w:sz w:val="28"/>
        </w:rPr>
        <w:t xml:space="preserve"> Порядк</w:t>
      </w:r>
      <w:r>
        <w:rPr>
          <w:rFonts w:ascii="Times New Roman" w:hAnsi="Times New Roman"/>
          <w:color w:val="auto"/>
          <w:sz w:val="28"/>
        </w:rPr>
        <w:t xml:space="preserve">ом</w:t>
      </w:r>
      <w:r>
        <w:rPr>
          <w:rFonts w:ascii="Times New Roman" w:hAnsi="Times New Roman"/>
          <w:color w:val="auto"/>
          <w:sz w:val="28"/>
        </w:rPr>
        <w:t xml:space="preserve"> №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297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 связи с </w:t>
      </w:r>
      <w:r>
        <w:rPr>
          <w:rFonts w:ascii="Times New Roman" w:hAnsi="Times New Roman"/>
          <w:color w:val="auto"/>
          <w:sz w:val="28"/>
        </w:rPr>
        <w:t xml:space="preserve">выявленным </w:t>
      </w:r>
      <w:r>
        <w:rPr>
          <w:rFonts w:ascii="Times New Roman" w:hAnsi="Times New Roman"/>
          <w:color w:val="auto"/>
          <w:sz w:val="28"/>
        </w:rPr>
        <w:t xml:space="preserve">нарушением Департаментом условий предоставления </w:t>
      </w:r>
      <w:r>
        <w:rPr>
          <w:rFonts w:ascii="Times New Roman" w:hAnsi="Times New Roman"/>
          <w:color w:val="auto"/>
          <w:sz w:val="28"/>
        </w:rPr>
        <w:t xml:space="preserve">гранта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РОО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Чычеткин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вэтгав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принято решение о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составлении протокола об административном правонарушении, ответственность за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которое предусмотрена частью 1 статьи 15.15.5 «Нарушение условий предоставления субсидий» Кодекса Российской Федерации об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административных правонарушениях.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Департаментом грант предоставлен</w:t>
      </w:r>
      <w:r>
        <w:rPr>
          <w:rFonts w:ascii="Times New Roman" w:hAnsi="Times New Roman"/>
          <w:sz w:val="28"/>
        </w:rPr>
        <w:t xml:space="preserve"> РОО «</w:t>
      </w:r>
      <w:r>
        <w:rPr>
          <w:rFonts w:ascii="Times New Roman" w:hAnsi="Times New Roman"/>
          <w:sz w:val="28"/>
        </w:rPr>
        <w:t xml:space="preserve">Чычеткин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вэтгав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в сумме </w:t>
      </w:r>
      <w:r>
        <w:rPr>
          <w:rFonts w:ascii="Times New Roman" w:hAnsi="Times New Roman"/>
          <w:sz w:val="28"/>
        </w:rPr>
        <w:t xml:space="preserve">2 500,0 тыс. рублей или 74,4% утвержденных сводной бюджетной росписью бюджетных назначений.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Фактические расходы по </w:t>
      </w:r>
      <w:r>
        <w:rPr>
          <w:rFonts w:ascii="Times New Roman" w:hAnsi="Times New Roman"/>
          <w:sz w:val="28"/>
        </w:rPr>
        <w:t xml:space="preserve">использованию средств </w:t>
      </w:r>
      <w:r>
        <w:rPr>
          <w:rFonts w:ascii="Times New Roman" w:hAnsi="Times New Roman"/>
          <w:sz w:val="28"/>
        </w:rPr>
        <w:t xml:space="preserve">грант</w:t>
      </w:r>
      <w:r>
        <w:rPr>
          <w:rFonts w:ascii="Times New Roman" w:hAnsi="Times New Roman"/>
          <w:sz w:val="28"/>
        </w:rPr>
        <w:t xml:space="preserve">а</w:t>
      </w:r>
      <w:r>
        <w:rPr>
          <w:rFonts w:ascii="Times New Roman" w:hAnsi="Times New Roman"/>
          <w:sz w:val="28"/>
        </w:rPr>
        <w:t xml:space="preserve"> составили </w:t>
      </w:r>
      <w:r>
        <w:rPr>
          <w:rFonts w:ascii="Times New Roman" w:hAnsi="Times New Roman"/>
          <w:sz w:val="28"/>
        </w:rPr>
        <w:t xml:space="preserve">2 490,8</w:t>
      </w:r>
      <w:r>
        <w:rPr>
          <w:rFonts w:ascii="Times New Roman" w:hAnsi="Times New Roman"/>
          <w:sz w:val="28"/>
        </w:rPr>
        <w:t xml:space="preserve"> тыс. рублей или </w:t>
      </w:r>
      <w:r>
        <w:rPr>
          <w:rFonts w:ascii="Times New Roman" w:hAnsi="Times New Roman"/>
          <w:sz w:val="28"/>
        </w:rPr>
        <w:t xml:space="preserve">99,6%</w:t>
      </w:r>
      <w:r>
        <w:rPr>
          <w:rFonts w:ascii="Times New Roman" w:hAnsi="Times New Roman"/>
          <w:sz w:val="28"/>
        </w:rPr>
        <w:t xml:space="preserve"> от направленных средств.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Остаток неиспользованных средств в размере 9,2 тыс. рублей возвращен РОО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Чычеткин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вэтгав</w:t>
      </w:r>
      <w:r>
        <w:rPr>
          <w:rFonts w:ascii="Times New Roman" w:hAnsi="Times New Roman"/>
          <w:sz w:val="28"/>
        </w:rPr>
        <w:t xml:space="preserve">» в окружной бюджет</w:t>
      </w:r>
      <w:r>
        <w:rPr>
          <w:rFonts w:ascii="Times New Roman" w:hAnsi="Times New Roman"/>
          <w:sz w:val="28"/>
        </w:rPr>
        <w:t xml:space="preserve"> с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соблюдением установленных сроков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Неисполненные бюджетные назначения составили 861,4 тыс. рублей</w:t>
      </w:r>
      <w:r>
        <w:rPr>
          <w:rFonts w:ascii="Times New Roman" w:hAnsi="Times New Roman"/>
          <w:sz w:val="28"/>
        </w:rPr>
        <w:t xml:space="preserve"> или 25,6% от предусмотренных сводной бюджетной росписью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strike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По результатам проверки предоставления Департаментом </w:t>
      </w:r>
      <w:r>
        <w:rPr>
          <w:rFonts w:ascii="Times New Roman" w:hAnsi="Times New Roman"/>
          <w:sz w:val="28"/>
        </w:rPr>
        <w:t xml:space="preserve">гранта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проведение Окружного фестиваля родных языков </w:t>
      </w:r>
      <w:r>
        <w:rPr>
          <w:rFonts w:ascii="Times New Roman" w:hAnsi="Times New Roman"/>
          <w:color w:val="auto"/>
          <w:sz w:val="28"/>
        </w:rPr>
        <w:t xml:space="preserve">установлено </w:t>
      </w:r>
      <w:bookmarkStart w:id="0" w:name="undefined"/>
      <w:r>
        <w:rPr>
          <w:rFonts w:ascii="Times New Roman" w:hAnsi="Times New Roman"/>
          <w:color w:val="auto"/>
          <w:sz w:val="28"/>
        </w:rPr>
        <w:t xml:space="preserve">2</w:t>
      </w:r>
      <w:r>
        <w:rPr>
          <w:rFonts w:ascii="Times New Roman" w:hAnsi="Times New Roman"/>
          <w:color w:val="auto"/>
          <w:sz w:val="28"/>
        </w:rPr>
        <w:t xml:space="preserve">6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нарушени</w:t>
      </w:r>
      <w:r>
        <w:rPr>
          <w:rFonts w:ascii="Times New Roman" w:hAnsi="Times New Roman"/>
          <w:color w:val="auto"/>
          <w:sz w:val="28"/>
        </w:rPr>
        <w:t xml:space="preserve">й</w:t>
      </w:r>
      <w:r>
        <w:rPr>
          <w:rFonts w:ascii="Times New Roman" w:hAnsi="Times New Roman"/>
          <w:color w:val="auto"/>
          <w:sz w:val="28"/>
        </w:rPr>
        <w:t xml:space="preserve"> бюджетного законодательства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в том числе</w:t>
      </w:r>
      <w:r>
        <w:rPr>
          <w:rFonts w:ascii="Times New Roman" w:hAnsi="Times New Roman"/>
          <w:color w:val="auto"/>
          <w:sz w:val="28"/>
        </w:rPr>
        <w:t xml:space="preserve">:</w:t>
      </w:r>
      <w:bookmarkEnd w:id="0"/>
      <w:r>
        <w:rPr>
          <w:rFonts w:ascii="Times New Roman" w:hAnsi="Times New Roman"/>
          <w:b/>
          <w:strike/>
          <w:color w:val="auto"/>
          <w:sz w:val="28"/>
        </w:rPr>
      </w:r>
      <w:r>
        <w:rPr>
          <w:rFonts w:ascii="Times New Roman" w:hAnsi="Times New Roman"/>
          <w:b/>
          <w:strike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1) </w:t>
      </w:r>
      <w:r>
        <w:rPr>
          <w:rFonts w:ascii="Times New Roman" w:hAnsi="Times New Roman"/>
          <w:color w:val="auto"/>
          <w:sz w:val="28"/>
        </w:rPr>
        <w:t xml:space="preserve">в </w:t>
      </w:r>
      <w:r>
        <w:rPr>
          <w:rFonts w:ascii="Times New Roman" w:hAnsi="Times New Roman"/>
          <w:color w:val="auto"/>
          <w:sz w:val="28"/>
        </w:rPr>
        <w:t xml:space="preserve">нарушени</w:t>
      </w:r>
      <w:r>
        <w:rPr>
          <w:rFonts w:ascii="Times New Roman" w:hAnsi="Times New Roman"/>
          <w:color w:val="auto"/>
          <w:sz w:val="28"/>
        </w:rPr>
        <w:t xml:space="preserve">е</w:t>
      </w:r>
      <w:r>
        <w:rPr>
          <w:rFonts w:ascii="Times New Roman" w:hAnsi="Times New Roman"/>
          <w:color w:val="auto"/>
          <w:sz w:val="28"/>
        </w:rPr>
        <w:t xml:space="preserve"> статьи 78.1 БК Р</w:t>
      </w:r>
      <w:r>
        <w:rPr>
          <w:rFonts w:ascii="Times New Roman" w:hAnsi="Times New Roman"/>
          <w:color w:val="auto"/>
          <w:sz w:val="28"/>
        </w:rPr>
        <w:t xml:space="preserve">Ф – </w:t>
      </w:r>
      <w:r>
        <w:rPr>
          <w:rFonts w:ascii="Times New Roman" w:hAnsi="Times New Roman"/>
          <w:color w:val="auto"/>
          <w:sz w:val="28"/>
        </w:rPr>
        <w:t xml:space="preserve">1</w:t>
      </w:r>
      <w:r>
        <w:rPr>
          <w:rFonts w:ascii="Times New Roman" w:hAnsi="Times New Roman"/>
          <w:color w:val="auto"/>
          <w:sz w:val="28"/>
        </w:rPr>
        <w:t xml:space="preserve">6 нарушений, из них: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- Порядок № 297 приведен в соответствие с Общими требованиями с нарушением установленного Постановлением № 1782 срока – 1 нарушение;</w:t>
      </w:r>
      <w:r>
        <w:rPr>
          <w:rFonts w:ascii="Times New Roman" w:hAnsi="Times New Roman"/>
          <w:b/>
          <w:sz w:val="28"/>
          <w:highlight w:val="green"/>
        </w:rPr>
        <w:t xml:space="preserve">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- Объявлен</w:t>
      </w:r>
      <w:r>
        <w:rPr>
          <w:rFonts w:ascii="Times New Roman" w:hAnsi="Times New Roman"/>
          <w:sz w:val="28"/>
        </w:rPr>
        <w:t xml:space="preserve">ие о проведении конкурсного отбора в целях предоставления гранта, опубликованное на портале предоставления мер финансовой государственной поддержки (promote.budget.gov.ru) 13 марта 2025 года, размещено на официальном сайте Департамента 28 января 2025 года </w:t>
      </w:r>
      <w:r>
        <w:rPr>
          <w:rFonts w:ascii="Times New Roman" w:hAnsi="Times New Roman"/>
          <w:sz w:val="28"/>
        </w:rPr>
        <w:t xml:space="preserve">(</w:t>
      </w:r>
      <w:r>
        <w:rPr>
          <w:rFonts w:ascii="Times New Roman" w:hAnsi="Times New Roman"/>
          <w:sz w:val="28"/>
        </w:rPr>
        <w:t xml:space="preserve">в информации о проведении первоначального конкурсного отбора со сроком приема заявок с 30 января по 1 марта 2025 года, признанного несостоявшимся в связи  представлением участниками отбора неполного комплекта документов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color w:val="auto"/>
          <w:sz w:val="28"/>
        </w:rPr>
        <w:t xml:space="preserve">– 1 нарушение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 </w:t>
      </w:r>
      <w:r>
        <w:rPr>
          <w:rFonts w:ascii="Times New Roman" w:hAnsi="Times New Roman"/>
          <w:sz w:val="28"/>
        </w:rPr>
        <w:t xml:space="preserve">протокол</w:t>
      </w:r>
      <w:r>
        <w:rPr>
          <w:rFonts w:ascii="Times New Roman" w:hAnsi="Times New Roman"/>
          <w:sz w:val="28"/>
        </w:rPr>
        <w:t xml:space="preserve">ы</w:t>
      </w:r>
      <w:r>
        <w:rPr>
          <w:rFonts w:ascii="Times New Roman" w:hAnsi="Times New Roman"/>
          <w:sz w:val="28"/>
        </w:rPr>
        <w:t xml:space="preserve"> вскрытия заявок </w:t>
      </w:r>
      <w:r>
        <w:rPr>
          <w:rFonts w:ascii="Times New Roman" w:hAnsi="Times New Roman"/>
          <w:sz w:val="28"/>
        </w:rPr>
        <w:t xml:space="preserve">и подведения итогов конкурсного отбора </w:t>
      </w:r>
      <w:r>
        <w:rPr>
          <w:rFonts w:ascii="Times New Roman" w:hAnsi="Times New Roman"/>
          <w:sz w:val="28"/>
        </w:rPr>
        <w:t xml:space="preserve">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официальном сайте Департамента </w:t>
      </w:r>
      <w:r>
        <w:rPr>
          <w:rFonts w:ascii="Times New Roman" w:hAnsi="Times New Roman"/>
          <w:sz w:val="28"/>
        </w:rPr>
        <w:t xml:space="preserve">размещены с нарушением установленных </w:t>
      </w:r>
      <w:r>
        <w:rPr>
          <w:rFonts w:ascii="Times New Roman" w:hAnsi="Times New Roman"/>
          <w:sz w:val="28"/>
        </w:rPr>
        <w:t xml:space="preserve">Порядк</w:t>
      </w:r>
      <w:r>
        <w:rPr>
          <w:rFonts w:ascii="Times New Roman" w:hAnsi="Times New Roman"/>
          <w:sz w:val="28"/>
        </w:rPr>
        <w:t xml:space="preserve">ом</w:t>
      </w:r>
      <w:r>
        <w:rPr>
          <w:rFonts w:ascii="Times New Roman" w:hAnsi="Times New Roman"/>
          <w:sz w:val="28"/>
        </w:rPr>
        <w:t xml:space="preserve"> № 297 срок</w:t>
      </w:r>
      <w:r>
        <w:rPr>
          <w:rFonts w:ascii="Times New Roman" w:hAnsi="Times New Roman"/>
          <w:sz w:val="28"/>
        </w:rPr>
        <w:t xml:space="preserve">ов </w:t>
      </w:r>
      <w:r>
        <w:rPr>
          <w:rFonts w:ascii="Times New Roman" w:hAnsi="Times New Roman"/>
          <w:color w:val="00b050"/>
          <w:sz w:val="28"/>
        </w:rPr>
        <w:t xml:space="preserve">– </w:t>
      </w:r>
      <w:r>
        <w:rPr>
          <w:rFonts w:ascii="Times New Roman" w:hAnsi="Times New Roman"/>
          <w:color w:val="auto"/>
          <w:sz w:val="28"/>
        </w:rPr>
        <w:t xml:space="preserve">2 нарушения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</w:t>
      </w:r>
      <w:r>
        <w:rPr>
          <w:rFonts w:ascii="Times New Roman" w:hAnsi="Times New Roman"/>
          <w:sz w:val="28"/>
        </w:rPr>
        <w:t xml:space="preserve">порядок проведения оценки заявок в целях предоставления гранта, опубликованный Департаментом на портале предоставления мер финансовой государственной поддержки (promote.budget.gov.ru), не </w:t>
      </w:r>
      <w:r>
        <w:rPr>
          <w:rFonts w:ascii="Times New Roman" w:hAnsi="Times New Roman"/>
          <w:sz w:val="28"/>
        </w:rPr>
        <w:t xml:space="preserve">соответствует  положениям</w:t>
      </w:r>
      <w:r>
        <w:rPr>
          <w:rFonts w:ascii="Times New Roman" w:hAnsi="Times New Roman"/>
          <w:sz w:val="28"/>
        </w:rPr>
        <w:t xml:space="preserve">, утвержденным Порядком </w:t>
      </w:r>
      <w:r>
        <w:rPr>
          <w:rFonts w:ascii="Times New Roman" w:hAnsi="Times New Roman"/>
          <w:sz w:val="28"/>
        </w:rPr>
        <w:t xml:space="preserve">№ 297</w:t>
      </w:r>
      <w:r>
        <w:rPr>
          <w:rFonts w:ascii="Times New Roman" w:hAnsi="Times New Roman"/>
          <w:sz w:val="28"/>
        </w:rPr>
        <w:t xml:space="preserve"> (введена двухуровневая система оценки (по критериям оценки заявок и показателям, образующим указанные критерии оценки), установлен минимальный проходной балл)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–</w:t>
      </w:r>
      <w:r>
        <w:rPr>
          <w:rFonts w:ascii="Times New Roman" w:hAnsi="Times New Roman"/>
          <w:color w:val="auto"/>
          <w:sz w:val="28"/>
        </w:rPr>
        <w:t xml:space="preserve"> 2 нарушения;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- </w:t>
      </w:r>
      <w:r>
        <w:rPr>
          <w:rFonts w:ascii="Times New Roman" w:hAnsi="Times New Roman"/>
          <w:color w:val="auto"/>
          <w:sz w:val="28"/>
        </w:rPr>
        <w:t xml:space="preserve">С</w:t>
      </w:r>
      <w:r>
        <w:rPr>
          <w:rFonts w:ascii="Times New Roman" w:hAnsi="Times New Roman"/>
          <w:color w:val="auto"/>
          <w:sz w:val="28"/>
        </w:rPr>
        <w:t xml:space="preserve">оглашение  о</w:t>
      </w:r>
      <w:r>
        <w:rPr>
          <w:rFonts w:ascii="Times New Roman" w:hAnsi="Times New Roman"/>
          <w:color w:val="auto"/>
          <w:sz w:val="28"/>
        </w:rPr>
        <w:t xml:space="preserve"> предоставлении гранта заключено Департаментом с </w:t>
      </w:r>
      <w:r>
        <w:rPr>
          <w:rFonts w:ascii="Times New Roman" w:hAnsi="Times New Roman"/>
          <w:sz w:val="28"/>
        </w:rPr>
        <w:t xml:space="preserve">нарушением </w:t>
      </w:r>
      <w:r>
        <w:rPr>
          <w:rFonts w:ascii="Times New Roman" w:hAnsi="Times New Roman"/>
          <w:sz w:val="28"/>
        </w:rPr>
        <w:t xml:space="preserve">конкурсного </w:t>
      </w:r>
      <w:r>
        <w:rPr>
          <w:rFonts w:ascii="Times New Roman" w:hAnsi="Times New Roman"/>
          <w:sz w:val="28"/>
        </w:rPr>
        <w:t xml:space="preserve">отбора получателя </w:t>
      </w:r>
      <w:r>
        <w:rPr>
          <w:rFonts w:ascii="Times New Roman" w:hAnsi="Times New Roman"/>
          <w:sz w:val="28"/>
        </w:rPr>
        <w:t xml:space="preserve">гранта</w:t>
      </w:r>
      <w:r>
        <w:rPr>
          <w:rFonts w:ascii="Times New Roman" w:hAnsi="Times New Roman"/>
          <w:sz w:val="28"/>
        </w:rPr>
        <w:t xml:space="preserve">  – в отсутствие процедуры проверки </w:t>
      </w:r>
      <w:r>
        <w:rPr>
          <w:rFonts w:ascii="Times New Roman" w:hAnsi="Times New Roman"/>
          <w:sz w:val="28"/>
        </w:rPr>
        <w:t xml:space="preserve">РОО «</w:t>
      </w:r>
      <w:r>
        <w:rPr>
          <w:rFonts w:ascii="Times New Roman" w:hAnsi="Times New Roman"/>
          <w:sz w:val="28"/>
        </w:rPr>
        <w:t xml:space="preserve">Чычеткин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вэтгав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sz w:val="28"/>
        </w:rPr>
        <w:t xml:space="preserve"> на предмет соответствия установленным Порядком № </w:t>
      </w:r>
      <w:r>
        <w:rPr>
          <w:rFonts w:ascii="Times New Roman" w:hAnsi="Times New Roman"/>
          <w:sz w:val="28"/>
        </w:rPr>
        <w:t xml:space="preserve">297</w:t>
      </w:r>
      <w:r>
        <w:rPr>
          <w:rFonts w:ascii="Times New Roman" w:hAnsi="Times New Roman"/>
          <w:sz w:val="28"/>
        </w:rPr>
        <w:t xml:space="preserve"> требованиям – </w:t>
      </w:r>
      <w:r>
        <w:rPr>
          <w:rFonts w:ascii="Times New Roman" w:hAnsi="Times New Roman"/>
          <w:sz w:val="28"/>
        </w:rPr>
        <w:t xml:space="preserve">4</w:t>
      </w:r>
      <w:r>
        <w:rPr>
          <w:rFonts w:ascii="Times New Roman" w:hAnsi="Times New Roman"/>
          <w:sz w:val="28"/>
        </w:rPr>
        <w:t xml:space="preserve"> нарушени</w:t>
      </w:r>
      <w:r>
        <w:rPr>
          <w:rFonts w:ascii="Times New Roman" w:hAnsi="Times New Roman"/>
          <w:sz w:val="28"/>
        </w:rPr>
        <w:t xml:space="preserve">я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 </w:t>
      </w:r>
      <w:r>
        <w:rPr>
          <w:rFonts w:ascii="Times New Roman" w:hAnsi="Times New Roman"/>
          <w:sz w:val="28"/>
        </w:rPr>
        <w:t xml:space="preserve">включение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Соглашение  о</w:t>
      </w:r>
      <w:r>
        <w:rPr>
          <w:rFonts w:ascii="Times New Roman" w:hAnsi="Times New Roman"/>
          <w:sz w:val="28"/>
        </w:rPr>
        <w:t xml:space="preserve"> предоставлении гранта </w:t>
      </w:r>
      <w:r>
        <w:rPr>
          <w:rFonts w:ascii="Times New Roman" w:hAnsi="Times New Roman"/>
          <w:sz w:val="28"/>
        </w:rPr>
        <w:t xml:space="preserve">дополнительного условия, не предусмотренного Порядком № 297, для перечисления суммы гранта </w:t>
      </w:r>
      <w:r>
        <w:rPr>
          <w:rFonts w:ascii="Times New Roman" w:hAnsi="Times New Roman"/>
          <w:color w:val="auto"/>
          <w:sz w:val="28"/>
        </w:rPr>
        <w:t xml:space="preserve">– 1 нарушение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</w:t>
      </w:r>
      <w:r>
        <w:rPr>
          <w:rFonts w:ascii="Times New Roman" w:hAnsi="Times New Roman"/>
          <w:sz w:val="28"/>
        </w:rPr>
        <w:t xml:space="preserve">несоответствие </w:t>
      </w:r>
      <w:r>
        <w:rPr>
          <w:rFonts w:ascii="Times New Roman" w:hAnsi="Times New Roman"/>
          <w:sz w:val="28"/>
        </w:rPr>
        <w:t xml:space="preserve">форм</w:t>
      </w:r>
      <w:r>
        <w:rPr>
          <w:rFonts w:ascii="Times New Roman" w:hAnsi="Times New Roman"/>
          <w:sz w:val="28"/>
        </w:rPr>
        <w:t xml:space="preserve">ы</w:t>
      </w:r>
      <w:r>
        <w:rPr>
          <w:rFonts w:ascii="Times New Roman" w:hAnsi="Times New Roman"/>
          <w:sz w:val="28"/>
        </w:rPr>
        <w:t xml:space="preserve"> и периодичност</w:t>
      </w:r>
      <w:r>
        <w:rPr>
          <w:rFonts w:ascii="Times New Roman" w:hAnsi="Times New Roman"/>
          <w:sz w:val="28"/>
        </w:rPr>
        <w:t xml:space="preserve">и</w:t>
      </w:r>
      <w:r>
        <w:rPr>
          <w:rFonts w:ascii="Times New Roman" w:hAnsi="Times New Roman"/>
          <w:sz w:val="28"/>
        </w:rPr>
        <w:t xml:space="preserve"> представления </w:t>
      </w:r>
      <w:r>
        <w:rPr>
          <w:rFonts w:ascii="Times New Roman" w:hAnsi="Times New Roman"/>
          <w:sz w:val="28"/>
        </w:rPr>
        <w:t xml:space="preserve">О</w:t>
      </w:r>
      <w:r>
        <w:rPr>
          <w:rFonts w:ascii="Times New Roman" w:hAnsi="Times New Roman"/>
          <w:sz w:val="28"/>
        </w:rPr>
        <w:t xml:space="preserve">тчета о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реализации плана мероприятий по достижению результатов предоставления субсидии, установленны</w:t>
      </w:r>
      <w:r>
        <w:rPr>
          <w:rFonts w:ascii="Times New Roman" w:hAnsi="Times New Roman"/>
          <w:sz w:val="28"/>
        </w:rPr>
        <w:t xml:space="preserve">х</w:t>
      </w:r>
      <w:r>
        <w:rPr>
          <w:rFonts w:ascii="Times New Roman" w:hAnsi="Times New Roman"/>
          <w:sz w:val="28"/>
        </w:rPr>
        <w:t xml:space="preserve"> Соглашением </w:t>
      </w:r>
      <w:r>
        <w:rPr>
          <w:rFonts w:ascii="Times New Roman" w:hAnsi="Times New Roman"/>
          <w:sz w:val="28"/>
        </w:rPr>
        <w:t xml:space="preserve">о предоставлении гранта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Порядку  проведения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мониторинга </w:t>
      </w:r>
      <w:r>
        <w:rPr>
          <w:rFonts w:ascii="Times New Roman" w:hAnsi="Times New Roman"/>
          <w:color w:val="auto"/>
          <w:sz w:val="28"/>
        </w:rPr>
        <w:t xml:space="preserve">– 2 нарушения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70c0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- </w:t>
      </w:r>
      <w:r>
        <w:rPr>
          <w:rFonts w:ascii="Times New Roman" w:hAnsi="Times New Roman"/>
          <w:color w:val="auto"/>
          <w:sz w:val="28"/>
        </w:rPr>
        <w:t xml:space="preserve">несоответствие </w:t>
      </w:r>
      <w:r>
        <w:rPr>
          <w:rFonts w:ascii="Times New Roman" w:hAnsi="Times New Roman"/>
          <w:color w:val="auto"/>
          <w:sz w:val="28"/>
        </w:rPr>
        <w:t xml:space="preserve">отдельных реквизитов </w:t>
      </w:r>
      <w:r>
        <w:rPr>
          <w:rFonts w:ascii="Times New Roman" w:hAnsi="Times New Roman"/>
          <w:color w:val="auto"/>
          <w:sz w:val="28"/>
        </w:rPr>
        <w:t xml:space="preserve">формы </w:t>
      </w:r>
      <w:r>
        <w:rPr>
          <w:rFonts w:ascii="Times New Roman" w:hAnsi="Times New Roman"/>
          <w:color w:val="auto"/>
          <w:sz w:val="28"/>
        </w:rPr>
        <w:t xml:space="preserve">О</w:t>
      </w:r>
      <w:r>
        <w:rPr>
          <w:rFonts w:ascii="Times New Roman" w:hAnsi="Times New Roman"/>
          <w:color w:val="auto"/>
          <w:sz w:val="28"/>
        </w:rPr>
        <w:t xml:space="preserve">тчета о расходах, источником финансового обеспечения которых является субсидия,</w:t>
      </w:r>
      <w:r>
        <w:rPr>
          <w:rFonts w:ascii="Times New Roman" w:hAnsi="Times New Roman"/>
          <w:color w:val="auto"/>
          <w:sz w:val="28"/>
        </w:rPr>
        <w:t xml:space="preserve"> установленных</w:t>
      </w:r>
      <w:r>
        <w:rPr>
          <w:rFonts w:ascii="Times New Roman" w:hAnsi="Times New Roman"/>
          <w:color w:val="auto"/>
          <w:sz w:val="28"/>
        </w:rPr>
        <w:t xml:space="preserve"> Соглашением </w:t>
      </w:r>
      <w:r>
        <w:rPr>
          <w:rFonts w:ascii="Times New Roman" w:hAnsi="Times New Roman"/>
          <w:sz w:val="28"/>
        </w:rPr>
        <w:t xml:space="preserve">о предоставлении гранта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</w:rPr>
        <w:t xml:space="preserve">типовой форме соглашения, утвержденной Приказом Департамента финансов, экономики и имущественных отношений Чукотского автономного округа от 20 июня </w:t>
      </w:r>
      <w:r>
        <w:rPr>
          <w:rFonts w:ascii="Times New Roman" w:hAnsi="Times New Roman"/>
          <w:color w:val="auto"/>
          <w:sz w:val="28"/>
        </w:rPr>
        <w:t xml:space="preserve">2022 года № 147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– 1 нарушение</w:t>
      </w:r>
      <w:r>
        <w:rPr>
          <w:rFonts w:ascii="Times New Roman" w:hAnsi="Times New Roman"/>
          <w:color w:val="auto"/>
          <w:sz w:val="28"/>
        </w:rPr>
        <w:t xml:space="preserve">;</w:t>
      </w:r>
      <w:bookmarkStart w:id="0" w:name="undefined"/>
      <w:r>
        <w:rPr>
          <w:rFonts w:ascii="Times New Roman" w:hAnsi="Times New Roman"/>
          <w:b/>
          <w:color w:val="auto"/>
          <w:sz w:val="28"/>
          <w:highlight w:val="green"/>
        </w:rPr>
        <w:t xml:space="preserve"> </w:t>
      </w:r>
      <w:bookmarkEnd w:id="0"/>
      <w:r>
        <w:rPr>
          <w:rFonts w:ascii="Times New Roman" w:hAnsi="Times New Roman"/>
          <w:color w:val="0070c0"/>
          <w:sz w:val="28"/>
        </w:rPr>
      </w:r>
      <w:r>
        <w:rPr>
          <w:rFonts w:ascii="Times New Roman" w:hAnsi="Times New Roman"/>
          <w:color w:val="0070c0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- сроки и периодичность представления </w:t>
      </w:r>
      <w:r>
        <w:rPr>
          <w:rFonts w:ascii="Times New Roman" w:hAnsi="Times New Roman"/>
          <w:color w:val="auto"/>
          <w:sz w:val="28"/>
        </w:rPr>
        <w:t xml:space="preserve">О</w:t>
      </w:r>
      <w:r>
        <w:rPr>
          <w:rFonts w:ascii="Times New Roman" w:hAnsi="Times New Roman"/>
          <w:color w:val="auto"/>
          <w:sz w:val="28"/>
        </w:rPr>
        <w:t xml:space="preserve">тчета о направлении расходования средств субсидии, представляемого с приложением копий документов, подтверждающих понесенные расходы, Соглашением о предоставлении гранта не определены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– 2 нарушения</w:t>
      </w:r>
      <w:r>
        <w:rPr>
          <w:rFonts w:ascii="Times New Roman" w:hAnsi="Times New Roman"/>
          <w:color w:val="auto"/>
          <w:sz w:val="28"/>
        </w:rPr>
        <w:t xml:space="preserve">;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2) </w:t>
      </w:r>
      <w:r>
        <w:rPr>
          <w:rFonts w:ascii="Times New Roman" w:hAnsi="Times New Roman"/>
          <w:color w:val="auto"/>
          <w:sz w:val="28"/>
        </w:rPr>
        <w:t xml:space="preserve">в нарушение статьи 158 БК РФ, Департаментом не осуществлены надлежащим образом полномочия главного распорядителя (распорядителя) бюджетных средств при проверке представленных РОО «</w:t>
      </w:r>
      <w:r>
        <w:rPr>
          <w:rFonts w:ascii="Times New Roman" w:hAnsi="Times New Roman"/>
          <w:color w:val="auto"/>
          <w:sz w:val="28"/>
        </w:rPr>
        <w:t xml:space="preserve">Чычеткин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вэтгав</w:t>
      </w:r>
      <w:r>
        <w:rPr>
          <w:rFonts w:ascii="Times New Roman" w:hAnsi="Times New Roman"/>
          <w:color w:val="auto"/>
          <w:sz w:val="28"/>
        </w:rPr>
        <w:t xml:space="preserve">» </w:t>
      </w:r>
      <w:r>
        <w:rPr>
          <w:rFonts w:ascii="Times New Roman" w:hAnsi="Times New Roman"/>
          <w:color w:val="auto"/>
          <w:sz w:val="28"/>
        </w:rPr>
        <w:t xml:space="preserve">О</w:t>
      </w:r>
      <w:r>
        <w:rPr>
          <w:rFonts w:ascii="Times New Roman" w:hAnsi="Times New Roman"/>
          <w:color w:val="auto"/>
          <w:sz w:val="28"/>
        </w:rPr>
        <w:t xml:space="preserve">тчетов о расходах, источником финансового обеспечения которых является субсидия, о достижении значений результатов предоставления субсидии, о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направлении расходования средств субсидии  по Соглашению </w:t>
      </w:r>
      <w:r>
        <w:rPr>
          <w:rFonts w:ascii="Times New Roman" w:hAnsi="Times New Roman"/>
          <w:sz w:val="28"/>
        </w:rPr>
        <w:t xml:space="preserve">о предоставлении гранта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– 10 нарушений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b/>
          <w:color w:val="auto"/>
          <w:sz w:val="24"/>
          <w:highlight w:val="green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color w:val="auto"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tabs>
          <w:tab w:val="left" w:pos="850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Оценка достижения значений результатов использования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beforeAutospacing="0" w:after="0" w:afterAutospacing="0" w:line="240" w:lineRule="auto"/>
        <w:tabs>
          <w:tab w:val="left" w:pos="850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бюджетных средств, выделенных на реализацию комплекса процессных мероприятий «Поддержка, сохранение и развитие родных языков»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beforeAutospacing="0" w:after="0" w:afterAutospacing="0" w:line="240" w:lineRule="auto"/>
        <w:tabs>
          <w:tab w:val="left" w:pos="850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Государственной программы «Развитие образования и науки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beforeAutospacing="0" w:after="0" w:afterAutospacing="0" w:line="240" w:lineRule="auto"/>
        <w:tabs>
          <w:tab w:val="left" w:pos="850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Чукотского автономного округа»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достижении </w:t>
      </w:r>
      <w:r>
        <w:rPr>
          <w:rFonts w:ascii="Times New Roman" w:hAnsi="Times New Roman"/>
          <w:sz w:val="28"/>
        </w:rPr>
        <w:t xml:space="preserve">значений </w:t>
      </w:r>
      <w:r>
        <w:rPr>
          <w:rFonts w:ascii="Times New Roman" w:hAnsi="Times New Roman"/>
          <w:sz w:val="28"/>
        </w:rPr>
        <w:t xml:space="preserve">результатов предоставления субсидии на иные цели </w:t>
      </w:r>
      <w:r>
        <w:rPr>
          <w:rFonts w:ascii="Times New Roman" w:hAnsi="Times New Roman"/>
          <w:sz w:val="28"/>
        </w:rPr>
        <w:t xml:space="preserve">и гранта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202</w:t>
      </w:r>
      <w:r>
        <w:rPr>
          <w:rFonts w:ascii="Times New Roman" w:hAnsi="Times New Roman"/>
          <w:sz w:val="28"/>
        </w:rPr>
        <w:t xml:space="preserve">5 </w:t>
      </w:r>
      <w:r>
        <w:rPr>
          <w:rFonts w:ascii="Times New Roman" w:hAnsi="Times New Roman"/>
          <w:sz w:val="28"/>
        </w:rPr>
        <w:t xml:space="preserve">год, </w:t>
      </w:r>
      <w:r>
        <w:rPr>
          <w:rFonts w:ascii="Times New Roman" w:hAnsi="Times New Roman"/>
          <w:sz w:val="28"/>
        </w:rPr>
        <w:t xml:space="preserve">предусмотренных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</w:t>
      </w:r>
      <w:r>
        <w:rPr>
          <w:rFonts w:ascii="Times New Roman" w:hAnsi="Times New Roman"/>
          <w:sz w:val="28"/>
        </w:rPr>
        <w:t xml:space="preserve">оглашениями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 предоставлении субсидии на иные цели </w:t>
      </w:r>
      <w:r>
        <w:rPr>
          <w:rFonts w:ascii="Times New Roman" w:hAnsi="Times New Roman"/>
          <w:sz w:val="28"/>
        </w:rPr>
        <w:t xml:space="preserve">ГАУ ДПО </w:t>
      </w:r>
      <w:r>
        <w:rPr>
          <w:rFonts w:ascii="Times New Roman" w:hAnsi="Times New Roman"/>
          <w:sz w:val="28"/>
        </w:rPr>
        <w:t xml:space="preserve">ЧИРОиПК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гранта </w:t>
      </w:r>
      <w:r>
        <w:rPr>
          <w:rFonts w:ascii="Times New Roman" w:hAnsi="Times New Roman"/>
          <w:sz w:val="28"/>
        </w:rPr>
        <w:t xml:space="preserve">РОО «</w:t>
      </w:r>
      <w:r>
        <w:rPr>
          <w:rFonts w:ascii="Times New Roman" w:hAnsi="Times New Roman"/>
          <w:sz w:val="28"/>
        </w:rPr>
        <w:t xml:space="preserve">Чычеткин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вэтгав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sz w:val="28"/>
        </w:rPr>
        <w:t xml:space="preserve">, представлена в таблице № </w:t>
      </w:r>
      <w:r>
        <w:rPr>
          <w:rFonts w:ascii="Times New Roman" w:hAnsi="Times New Roman"/>
          <w:sz w:val="28"/>
        </w:rPr>
        <w:t xml:space="preserve">2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Таблица № 2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9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276"/>
        <w:gridCol w:w="1276"/>
        <w:gridCol w:w="1704"/>
      </w:tblGrid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результата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характеристики результата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Значения показателей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факт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Соглашени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 предоставлении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ГАУ ДПО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ЧИРОиПК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субсидии на иные цели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Проведение окружных мероприятий по родным языкам и краеведению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(результат)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человек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менее 150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1 483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Соглашени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 предоставлении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гранта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РОО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Чычеткин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вэтгав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проведение Окружного фестиваля родных языков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 Окружной фестиваль родных языков (результат)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5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педагогических работников, принявших участие в Окружном фестивале родных языков (характеристика результата)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человек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5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социальных партнеров, принявших участие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Окружном фестивале родных языков (характеристика результата)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результаты</w:t>
      </w:r>
      <w:r>
        <w:rPr>
          <w:rFonts w:ascii="Times New Roman" w:hAnsi="Times New Roman"/>
          <w:sz w:val="28"/>
        </w:rPr>
        <w:t xml:space="preserve">, предусмотренные </w:t>
      </w:r>
      <w:r>
        <w:rPr>
          <w:rFonts w:ascii="Times New Roman" w:hAnsi="Times New Roman"/>
          <w:sz w:val="28"/>
        </w:rPr>
        <w:t xml:space="preserve">к достижению </w:t>
      </w:r>
      <w:r>
        <w:rPr>
          <w:rFonts w:ascii="Times New Roman" w:hAnsi="Times New Roman"/>
          <w:sz w:val="28"/>
        </w:rPr>
        <w:t xml:space="preserve">получателями бюджетных средств </w:t>
      </w:r>
      <w:r>
        <w:rPr>
          <w:rFonts w:ascii="Times New Roman" w:hAnsi="Times New Roman"/>
          <w:sz w:val="28"/>
        </w:rPr>
        <w:t xml:space="preserve">С</w:t>
      </w:r>
      <w:r>
        <w:rPr>
          <w:rFonts w:ascii="Times New Roman" w:hAnsi="Times New Roman"/>
          <w:sz w:val="28"/>
        </w:rPr>
        <w:t xml:space="preserve">оглашениями </w:t>
      </w:r>
      <w:r>
        <w:rPr>
          <w:rFonts w:ascii="Times New Roman" w:hAnsi="Times New Roman"/>
          <w:sz w:val="28"/>
        </w:rPr>
        <w:t xml:space="preserve">о предоставлении субсиди</w:t>
      </w:r>
      <w:r>
        <w:rPr>
          <w:rFonts w:ascii="Times New Roman" w:hAnsi="Times New Roman"/>
          <w:sz w:val="28"/>
        </w:rPr>
        <w:t xml:space="preserve">и на иные цели</w:t>
      </w:r>
      <w:r>
        <w:rPr>
          <w:rFonts w:ascii="Times New Roman" w:hAnsi="Times New Roman"/>
          <w:sz w:val="28"/>
        </w:rPr>
        <w:t xml:space="preserve"> и гранта </w:t>
      </w:r>
      <w:r>
        <w:rPr>
          <w:rFonts w:ascii="Times New Roman" w:hAnsi="Times New Roman"/>
          <w:sz w:val="28"/>
        </w:rPr>
        <w:t xml:space="preserve">в 202</w:t>
      </w:r>
      <w:r>
        <w:rPr>
          <w:rFonts w:ascii="Times New Roman" w:hAnsi="Times New Roman"/>
          <w:sz w:val="28"/>
        </w:rPr>
        <w:t xml:space="preserve">5</w:t>
      </w:r>
      <w:r>
        <w:rPr>
          <w:rFonts w:ascii="Times New Roman" w:hAnsi="Times New Roman"/>
          <w:sz w:val="28"/>
        </w:rPr>
        <w:t xml:space="preserve"> году</w:t>
      </w:r>
      <w:r>
        <w:rPr>
          <w:rFonts w:ascii="Times New Roman" w:hAnsi="Times New Roman"/>
          <w:sz w:val="28"/>
        </w:rPr>
        <w:t xml:space="preserve">,</w:t>
      </w:r>
      <w:r>
        <w:rPr>
          <w:rFonts w:ascii="Times New Roman" w:hAnsi="Times New Roman"/>
          <w:sz w:val="28"/>
        </w:rPr>
        <w:t xml:space="preserve"> достигнуты</w:t>
      </w:r>
      <w:r>
        <w:rPr>
          <w:rFonts w:ascii="Times New Roman" w:hAnsi="Times New Roman"/>
          <w:sz w:val="28"/>
        </w:rPr>
        <w:t xml:space="preserve"> в полном объеме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 </w:t>
      </w:r>
      <w:r>
        <w:rPr>
          <w:rFonts w:ascii="Times New Roman" w:hAnsi="Times New Roman"/>
          <w:sz w:val="28"/>
        </w:rPr>
        <w:t xml:space="preserve">О</w:t>
      </w:r>
      <w:r>
        <w:rPr>
          <w:rFonts w:ascii="Times New Roman" w:hAnsi="Times New Roman"/>
          <w:sz w:val="28"/>
        </w:rPr>
        <w:t xml:space="preserve">тчет</w:t>
      </w:r>
      <w:r>
        <w:rPr>
          <w:rFonts w:ascii="Times New Roman" w:hAnsi="Times New Roman"/>
          <w:sz w:val="28"/>
        </w:rPr>
        <w:t xml:space="preserve">а</w:t>
      </w:r>
      <w:r>
        <w:rPr>
          <w:rFonts w:ascii="Times New Roman" w:hAnsi="Times New Roman"/>
          <w:sz w:val="28"/>
        </w:rPr>
        <w:t xml:space="preserve"> о достижении значений </w:t>
      </w:r>
      <w:r>
        <w:rPr>
          <w:rFonts w:ascii="Times New Roman" w:hAnsi="Times New Roman"/>
          <w:sz w:val="28"/>
        </w:rPr>
        <w:t xml:space="preserve">результатов предоставления </w:t>
      </w:r>
      <w:r>
        <w:rPr>
          <w:rFonts w:ascii="Times New Roman" w:hAnsi="Times New Roman"/>
          <w:sz w:val="28"/>
        </w:rPr>
        <w:t xml:space="preserve">субсидии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Соглашению </w:t>
      </w:r>
      <w:r>
        <w:rPr>
          <w:rFonts w:ascii="Times New Roman" w:hAnsi="Times New Roman"/>
          <w:sz w:val="28"/>
        </w:rPr>
        <w:t xml:space="preserve">о предоставлении субсидии на иные цели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показал</w:t>
      </w:r>
      <w:r>
        <w:rPr>
          <w:rFonts w:ascii="Times New Roman" w:hAnsi="Times New Roman"/>
          <w:sz w:val="28"/>
        </w:rPr>
        <w:t xml:space="preserve">, что</w:t>
      </w:r>
      <w:r>
        <w:rPr>
          <w:rFonts w:ascii="Times New Roman" w:hAnsi="Times New Roman"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указанное ГАУ ДПО </w:t>
      </w:r>
      <w:r>
        <w:rPr>
          <w:rFonts w:ascii="Times New Roman" w:hAnsi="Times New Roman"/>
          <w:sz w:val="28"/>
        </w:rPr>
        <w:t xml:space="preserve">ЧИРОиПК</w:t>
      </w:r>
      <w:r>
        <w:rPr>
          <w:rFonts w:ascii="Times New Roman" w:hAnsi="Times New Roman"/>
          <w:sz w:val="28"/>
        </w:rPr>
        <w:t xml:space="preserve"> фактическое значение результата </w:t>
      </w:r>
      <w:r>
        <w:rPr>
          <w:rFonts w:ascii="Times New Roman" w:hAnsi="Times New Roman"/>
          <w:sz w:val="28"/>
        </w:rPr>
        <w:t xml:space="preserve">«П</w:t>
      </w:r>
      <w:r>
        <w:rPr>
          <w:rFonts w:ascii="Times New Roman" w:hAnsi="Times New Roman"/>
          <w:sz w:val="28"/>
        </w:rPr>
        <w:t xml:space="preserve">роведение окружных мероприятий по родным языкам и </w:t>
      </w:r>
      <w:r>
        <w:rPr>
          <w:rFonts w:ascii="Times New Roman" w:hAnsi="Times New Roman"/>
          <w:sz w:val="28"/>
        </w:rPr>
        <w:t xml:space="preserve">краеведению  (</w:t>
      </w:r>
      <w:r>
        <w:rPr>
          <w:rFonts w:ascii="Times New Roman" w:hAnsi="Times New Roman"/>
          <w:sz w:val="28"/>
        </w:rPr>
        <w:t xml:space="preserve">результат)</w:t>
      </w:r>
      <w:r>
        <w:rPr>
          <w:rFonts w:ascii="Times New Roman" w:hAnsi="Times New Roman"/>
          <w:sz w:val="28"/>
        </w:rPr>
        <w:t xml:space="preserve"> – не менее 150 человек» </w:t>
      </w:r>
      <w:r>
        <w:rPr>
          <w:rFonts w:ascii="Times New Roman" w:hAnsi="Times New Roman"/>
          <w:sz w:val="28"/>
        </w:rPr>
        <w:t xml:space="preserve">не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содержит конкретное числовое значение</w:t>
      </w:r>
      <w:r>
        <w:rPr>
          <w:rFonts w:ascii="Times New Roman" w:hAnsi="Times New Roman"/>
          <w:sz w:val="28"/>
        </w:rPr>
        <w:t xml:space="preserve"> (в отчете </w:t>
      </w:r>
      <w:r>
        <w:rPr>
          <w:rFonts w:ascii="Times New Roman" w:hAnsi="Times New Roman"/>
          <w:sz w:val="28"/>
        </w:rPr>
        <w:t xml:space="preserve">ГАУ ДПО </w:t>
      </w:r>
      <w:r>
        <w:rPr>
          <w:rFonts w:ascii="Times New Roman" w:hAnsi="Times New Roman"/>
          <w:sz w:val="28"/>
        </w:rPr>
        <w:t xml:space="preserve">ЧИРОиПК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заполнено «более 150 человек»)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плановое значение результата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перевыполнено в 9,9 раза </w:t>
      </w:r>
      <w:r>
        <w:rPr>
          <w:rFonts w:ascii="Times New Roman" w:hAnsi="Times New Roman"/>
          <w:color w:val="auto"/>
          <w:sz w:val="28"/>
        </w:rPr>
        <w:t xml:space="preserve">(согласно данным, представленным ГАУ</w:t>
      </w:r>
      <w:r>
        <w:rPr>
          <w:rFonts w:ascii="Times New Roman" w:hAnsi="Times New Roman"/>
          <w:color w:val="auto"/>
          <w:sz w:val="28"/>
        </w:rPr>
        <w:t xml:space="preserve"> </w:t>
      </w:r>
      <w:r>
        <w:rPr>
          <w:rFonts w:ascii="Times New Roman" w:hAnsi="Times New Roman"/>
          <w:color w:val="auto"/>
          <w:sz w:val="28"/>
        </w:rPr>
        <w:t xml:space="preserve">ДПО </w:t>
      </w:r>
      <w:r>
        <w:rPr>
          <w:rFonts w:ascii="Times New Roman" w:hAnsi="Times New Roman"/>
          <w:color w:val="auto"/>
          <w:sz w:val="28"/>
        </w:rPr>
        <w:t xml:space="preserve">ЧИРОиПК</w:t>
      </w:r>
      <w:r>
        <w:rPr>
          <w:rFonts w:ascii="Times New Roman" w:hAnsi="Times New Roman"/>
          <w:color w:val="auto"/>
          <w:sz w:val="28"/>
        </w:rPr>
        <w:t xml:space="preserve">, фактически </w:t>
      </w:r>
      <w:r>
        <w:rPr>
          <w:rFonts w:ascii="Times New Roman" w:hAnsi="Times New Roman"/>
          <w:sz w:val="28"/>
        </w:rPr>
        <w:t xml:space="preserve">достигнутое значение результата по итогам 2025 года составило 1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483 человека). Многократное перевыполнение планового значения результата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свидетельствует об установлении </w:t>
      </w:r>
      <w:r>
        <w:rPr>
          <w:rFonts w:ascii="Times New Roman" w:hAnsi="Times New Roman"/>
          <w:color w:val="auto"/>
          <w:sz w:val="28"/>
        </w:rPr>
        <w:t xml:space="preserve">Департаментом заниженного планового результата предоставления субсидии</w:t>
      </w:r>
      <w:r>
        <w:rPr>
          <w:rFonts w:ascii="Times New Roman" w:hAnsi="Times New Roman"/>
          <w:color w:val="auto"/>
          <w:sz w:val="28"/>
        </w:rPr>
        <w:t xml:space="preserve">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  <w:outlineLvl w:val="0"/>
      </w:pPr>
      <w:r>
        <w:rPr>
          <w:rFonts w:ascii="Times New Roman" w:hAnsi="Times New Roman"/>
          <w:b/>
          <w:sz w:val="28"/>
        </w:rPr>
        <w:t xml:space="preserve">Возражения или замечания руководителей объектов контрольного мероприятия</w:t>
      </w:r>
      <w:r>
        <w:rPr>
          <w:rFonts w:ascii="Times New Roman" w:hAnsi="Times New Roman"/>
          <w:b/>
          <w:sz w:val="28"/>
        </w:rPr>
        <w:t xml:space="preserve">: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4427"/>
        <w:ind w:left="0" w:firstLine="680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контрольного мероприятия составлено два акта, которые подписаны без разногласий, в том числе: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/>
          <w:sz w:val="28"/>
        </w:rPr>
        <w:t xml:space="preserve">акт от 15 апреля 2026 года № 2026-1.5/9 – </w:t>
      </w:r>
      <w:bookmarkStart w:id="0" w:name="undefined"/>
      <w:r>
        <w:rPr>
          <w:rFonts w:ascii="Times New Roman" w:hAnsi="Times New Roman"/>
          <w:sz w:val="28"/>
        </w:rPr>
        <w:t xml:space="preserve">Департамент образования и науки Чукотского автономного округа;</w:t>
      </w:r>
      <w:r/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 от 15 апреля 2026 года № 2026-1.5/10 – Государственное автономное учреждение дополнительного профессионального образования Чукотского автономного округа «Чукотский институт развития образования и повышения квалификации».</w:t>
      </w:r>
      <w:bookmarkEnd w:id="0"/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  <w:outlineLvl w:val="0"/>
      </w:pP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 xml:space="preserve">Выводы</w:t>
      </w:r>
      <w:r>
        <w:rPr>
          <w:rFonts w:ascii="Times New Roman" w:hAnsi="Times New Roman"/>
          <w:b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Общий объем бюджетных ассигнований, </w:t>
      </w:r>
      <w:r>
        <w:rPr>
          <w:rFonts w:ascii="Times New Roman" w:hAnsi="Times New Roman"/>
          <w:sz w:val="28"/>
        </w:rPr>
        <w:t xml:space="preserve">предусмотренный</w:t>
      </w:r>
      <w:r>
        <w:rPr>
          <w:rFonts w:ascii="Times New Roman" w:hAnsi="Times New Roman"/>
          <w:sz w:val="28"/>
        </w:rPr>
        <w:t xml:space="preserve"> 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реализацию в 202</w:t>
      </w:r>
      <w:r>
        <w:rPr>
          <w:rFonts w:ascii="Times New Roman" w:hAnsi="Times New Roman"/>
          <w:sz w:val="28"/>
        </w:rPr>
        <w:t xml:space="preserve">5</w:t>
      </w:r>
      <w:r>
        <w:rPr>
          <w:rFonts w:ascii="Times New Roman" w:hAnsi="Times New Roman"/>
          <w:sz w:val="28"/>
        </w:rPr>
        <w:t xml:space="preserve"> году комплекса процессных мероприятий «Поддержка, сохранение и развитие родных языков» </w:t>
      </w:r>
      <w:r>
        <w:rPr>
          <w:rFonts w:ascii="Times New Roman" w:hAnsi="Times New Roman"/>
          <w:sz w:val="28"/>
        </w:rPr>
        <w:t xml:space="preserve">государственной программы </w:t>
      </w:r>
      <w:r>
        <w:rPr>
          <w:rFonts w:ascii="Times New Roman" w:hAnsi="Times New Roman"/>
          <w:sz w:val="28"/>
        </w:rPr>
        <w:t xml:space="preserve">«Развитие образования</w:t>
      </w:r>
      <w:r>
        <w:t xml:space="preserve"> </w:t>
      </w:r>
      <w:r>
        <w:rPr>
          <w:rFonts w:ascii="Times New Roman" w:hAnsi="Times New Roman"/>
          <w:sz w:val="28"/>
        </w:rPr>
        <w:t xml:space="preserve">и науки Чукотского автономного округа» составляет </w:t>
      </w:r>
      <w:r>
        <w:rPr>
          <w:rFonts w:ascii="Times New Roman" w:hAnsi="Times New Roman"/>
          <w:sz w:val="28"/>
        </w:rPr>
        <w:t xml:space="preserve">4 131,4</w:t>
      </w:r>
      <w:r>
        <w:rPr>
          <w:rFonts w:ascii="Times New Roman" w:hAnsi="Times New Roman"/>
          <w:sz w:val="28"/>
        </w:rPr>
        <w:t xml:space="preserve"> тыс. рублей за счет средств окружного бюджета.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Реализация комплекса процессных мероприятий «Поддержка, сохранение и развитие родных языков» осуществлялась </w:t>
      </w:r>
      <w:bookmarkStart w:id="0" w:name="undefined"/>
      <w:r>
        <w:rPr>
          <w:rFonts w:ascii="Times New Roman" w:hAnsi="Times New Roman"/>
          <w:sz w:val="28"/>
        </w:rPr>
        <w:t xml:space="preserve">Департаментом </w:t>
      </w:r>
      <w:bookmarkStart w:id="0" w:name="undefined"/>
      <w:r>
        <w:rPr>
          <w:rFonts w:ascii="Times New Roman" w:hAnsi="Times New Roman"/>
          <w:sz w:val="28"/>
        </w:rPr>
        <w:t xml:space="preserve">образования и науки Чукотского автономного округа </w:t>
      </w:r>
      <w:bookmarkEnd w:id="0"/>
      <w:r>
        <w:rPr>
          <w:rFonts w:ascii="Times New Roman" w:hAnsi="Times New Roman"/>
          <w:sz w:val="28"/>
        </w:rPr>
        <w:t xml:space="preserve">путем реализации 3 мероприятий </w:t>
      </w:r>
      <w:r>
        <w:rPr>
          <w:rFonts w:ascii="Times New Roman" w:hAnsi="Times New Roman"/>
          <w:sz w:val="28"/>
        </w:rPr>
        <w:t xml:space="preserve">посредством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</w:t>
      </w:r>
      <w:r>
        <w:rPr>
          <w:rFonts w:ascii="Times New Roman" w:hAnsi="Times New Roman"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субсидии </w:t>
      </w:r>
      <w:r>
        <w:rPr>
          <w:rFonts w:ascii="Times New Roman" w:hAnsi="Times New Roman"/>
          <w:sz w:val="28"/>
        </w:rPr>
        <w:t xml:space="preserve">на иные цели </w:t>
      </w:r>
      <w:r>
        <w:rPr>
          <w:rFonts w:ascii="Times New Roman" w:hAnsi="Times New Roman"/>
          <w:sz w:val="28"/>
        </w:rPr>
        <w:t xml:space="preserve">Государственно</w:t>
      </w:r>
      <w:r>
        <w:rPr>
          <w:rFonts w:ascii="Times New Roman" w:hAnsi="Times New Roman"/>
          <w:sz w:val="28"/>
        </w:rPr>
        <w:t xml:space="preserve">му</w:t>
      </w:r>
      <w:r>
        <w:rPr>
          <w:rFonts w:ascii="Times New Roman" w:hAnsi="Times New Roman"/>
          <w:sz w:val="28"/>
        </w:rPr>
        <w:t xml:space="preserve"> автономно</w:t>
      </w:r>
      <w:r>
        <w:rPr>
          <w:rFonts w:ascii="Times New Roman" w:hAnsi="Times New Roman"/>
          <w:sz w:val="28"/>
        </w:rPr>
        <w:t xml:space="preserve">му</w:t>
      </w:r>
      <w:r>
        <w:rPr>
          <w:rFonts w:ascii="Times New Roman" w:hAnsi="Times New Roman"/>
          <w:sz w:val="28"/>
        </w:rPr>
        <w:t xml:space="preserve"> учреждени</w:t>
      </w:r>
      <w:r>
        <w:rPr>
          <w:rFonts w:ascii="Times New Roman" w:hAnsi="Times New Roman"/>
          <w:sz w:val="28"/>
        </w:rPr>
        <w:t xml:space="preserve">ю</w:t>
      </w:r>
      <w:r>
        <w:rPr>
          <w:rFonts w:ascii="Times New Roman" w:hAnsi="Times New Roman"/>
          <w:sz w:val="28"/>
        </w:rPr>
        <w:t xml:space="preserve"> дополнительного профессионального образования Чукотского автономного округа «Чукотский институт развития образования и повышения квалификации»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 xml:space="preserve">организацию и проведение окружных мероприятий по родным языкам и краеведению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гранта в форме субсидии </w:t>
      </w:r>
      <w:r>
        <w:rPr>
          <w:rFonts w:ascii="Times New Roman" w:hAnsi="Times New Roman"/>
          <w:sz w:val="28"/>
        </w:rPr>
        <w:t xml:space="preserve">Региональн</w:t>
      </w:r>
      <w:r>
        <w:rPr>
          <w:rFonts w:ascii="Times New Roman" w:hAnsi="Times New Roman"/>
          <w:sz w:val="28"/>
        </w:rPr>
        <w:t xml:space="preserve">ой</w:t>
      </w:r>
      <w:r>
        <w:rPr>
          <w:rFonts w:ascii="Times New Roman" w:hAnsi="Times New Roman"/>
          <w:sz w:val="28"/>
        </w:rPr>
        <w:t xml:space="preserve"> общественн</w:t>
      </w:r>
      <w:r>
        <w:rPr>
          <w:rFonts w:ascii="Times New Roman" w:hAnsi="Times New Roman"/>
          <w:sz w:val="28"/>
        </w:rPr>
        <w:t xml:space="preserve">ой</w:t>
      </w:r>
      <w:r>
        <w:rPr>
          <w:rFonts w:ascii="Times New Roman" w:hAnsi="Times New Roman"/>
          <w:sz w:val="28"/>
        </w:rPr>
        <w:t xml:space="preserve"> организаци</w:t>
      </w:r>
      <w:r>
        <w:rPr>
          <w:rFonts w:ascii="Times New Roman" w:hAnsi="Times New Roman"/>
          <w:sz w:val="28"/>
        </w:rPr>
        <w:t xml:space="preserve">и</w:t>
      </w:r>
      <w:r>
        <w:rPr>
          <w:rFonts w:ascii="Times New Roman" w:hAnsi="Times New Roman"/>
          <w:sz w:val="28"/>
        </w:rPr>
        <w:t xml:space="preserve"> сохранения чукотского языка Чукотского автономного округа «</w:t>
      </w:r>
      <w:r>
        <w:rPr>
          <w:rFonts w:ascii="Times New Roman" w:hAnsi="Times New Roman"/>
          <w:sz w:val="28"/>
        </w:rPr>
        <w:t xml:space="preserve">Чычеткин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вэтгав</w:t>
      </w:r>
      <w:r>
        <w:rPr>
          <w:rFonts w:ascii="Times New Roman" w:hAnsi="Times New Roman"/>
          <w:sz w:val="28"/>
        </w:rPr>
        <w:t xml:space="preserve">» (Родное слово)</w:t>
      </w:r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t xml:space="preserve">проведение Окружного фестиваля родных языков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В 202</w:t>
      </w:r>
      <w:r>
        <w:rPr>
          <w:rFonts w:ascii="Times New Roman" w:hAnsi="Times New Roman"/>
          <w:sz w:val="28"/>
        </w:rPr>
        <w:t xml:space="preserve">5</w:t>
      </w:r>
      <w:r>
        <w:rPr>
          <w:rFonts w:ascii="Times New Roman" w:hAnsi="Times New Roman"/>
          <w:sz w:val="28"/>
        </w:rPr>
        <w:t xml:space="preserve"> году </w:t>
      </w:r>
      <w:r>
        <w:rPr>
          <w:rFonts w:ascii="Times New Roman" w:hAnsi="Times New Roman"/>
          <w:sz w:val="28"/>
        </w:rPr>
        <w:t xml:space="preserve">кассовые </w:t>
      </w:r>
      <w:r>
        <w:rPr>
          <w:rFonts w:ascii="Times New Roman" w:hAnsi="Times New Roman"/>
          <w:sz w:val="28"/>
        </w:rPr>
        <w:t xml:space="preserve">расходы окружного бюджета на реализацию </w:t>
      </w:r>
      <w:r>
        <w:rPr>
          <w:rFonts w:ascii="Times New Roman" w:hAnsi="Times New Roman"/>
          <w:sz w:val="28"/>
        </w:rPr>
        <w:t xml:space="preserve">комплекса процессных мероприятий </w:t>
      </w:r>
      <w:r>
        <w:rPr>
          <w:rFonts w:ascii="Times New Roman" w:hAnsi="Times New Roman"/>
          <w:sz w:val="28"/>
        </w:rPr>
        <w:t xml:space="preserve">«Поддержка, сохранение и развитие родных языков» составили 3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166,3 тыс. рублей или 76,6% плановых назначений</w:t>
      </w:r>
      <w:r>
        <w:rPr>
          <w:rFonts w:ascii="Times New Roman" w:hAnsi="Times New Roman"/>
          <w:sz w:val="28"/>
        </w:rPr>
        <w:t xml:space="preserve"> (фактические расходы – 3 157,1 тыс. рублей или 99,7% от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направленных средств), из них: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 </w:t>
      </w:r>
      <w:r>
        <w:rPr>
          <w:rFonts w:ascii="Times New Roman" w:hAnsi="Times New Roman"/>
          <w:sz w:val="28"/>
        </w:rPr>
        <w:t xml:space="preserve">субсидии на иные цели </w:t>
      </w:r>
      <w:r>
        <w:rPr>
          <w:rFonts w:ascii="Times New Roman" w:hAnsi="Times New Roman"/>
          <w:sz w:val="28"/>
        </w:rPr>
        <w:t xml:space="preserve">на организацию и проведение окружных мероприятий по родным языкам и краеведению</w:t>
      </w:r>
      <w:r>
        <w:rPr>
          <w:rFonts w:ascii="Times New Roman" w:hAnsi="Times New Roman"/>
          <w:sz w:val="28"/>
        </w:rPr>
        <w:t xml:space="preserve"> – 666,3 тыс. рублей или 86,5% </w:t>
      </w:r>
      <w:r>
        <w:rPr>
          <w:rFonts w:ascii="Times New Roman" w:hAnsi="Times New Roman"/>
          <w:sz w:val="28"/>
        </w:rPr>
        <w:t xml:space="preserve">плановых назначений (фактические расходы – </w:t>
      </w:r>
      <w:r>
        <w:rPr>
          <w:rFonts w:ascii="Times New Roman" w:hAnsi="Times New Roman"/>
          <w:sz w:val="28"/>
        </w:rPr>
        <w:t xml:space="preserve">666,3</w:t>
      </w:r>
      <w:r>
        <w:rPr>
          <w:rFonts w:ascii="Times New Roman" w:hAnsi="Times New Roman"/>
          <w:sz w:val="28"/>
        </w:rPr>
        <w:t xml:space="preserve"> тыс. рублей</w:t>
      </w:r>
      <w:r>
        <w:rPr>
          <w:rFonts w:ascii="Times New Roman" w:hAnsi="Times New Roman"/>
          <w:sz w:val="28"/>
        </w:rPr>
        <w:t xml:space="preserve"> или 100,0% от направленных средств);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гранту </w:t>
      </w:r>
      <w:r>
        <w:rPr>
          <w:rFonts w:ascii="Times New Roman" w:hAnsi="Times New Roman"/>
          <w:sz w:val="28"/>
        </w:rPr>
        <w:t xml:space="preserve">в форме субсидии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проведение Окружного фестиваля родных языков</w:t>
      </w:r>
      <w:r>
        <w:rPr>
          <w:rFonts w:ascii="Times New Roman" w:hAnsi="Times New Roman"/>
          <w:sz w:val="28"/>
        </w:rPr>
        <w:t xml:space="preserve"> – 2 500,0 тыс. рублей или 74,4% </w:t>
      </w:r>
      <w:r>
        <w:rPr>
          <w:rFonts w:ascii="Times New Roman" w:hAnsi="Times New Roman"/>
          <w:sz w:val="28"/>
        </w:rPr>
        <w:t xml:space="preserve">плановых назначений (фактические расходы – </w:t>
      </w:r>
      <w:r>
        <w:rPr>
          <w:rFonts w:ascii="Times New Roman" w:hAnsi="Times New Roman"/>
          <w:sz w:val="28"/>
        </w:rPr>
        <w:t xml:space="preserve">2 490,8</w:t>
      </w:r>
      <w:r>
        <w:rPr>
          <w:rFonts w:ascii="Times New Roman" w:hAnsi="Times New Roman"/>
          <w:sz w:val="28"/>
        </w:rPr>
        <w:t xml:space="preserve"> тыс. рублей или </w:t>
      </w:r>
      <w:r>
        <w:rPr>
          <w:rFonts w:ascii="Times New Roman" w:hAnsi="Times New Roman"/>
          <w:sz w:val="28"/>
        </w:rPr>
        <w:t xml:space="preserve">99,6</w:t>
      </w:r>
      <w:r>
        <w:rPr>
          <w:rFonts w:ascii="Times New Roman" w:hAnsi="Times New Roman"/>
          <w:sz w:val="28"/>
        </w:rPr>
        <w:t xml:space="preserve">% от направленных средств)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Остаток неиспользованных средств грант</w:t>
      </w:r>
      <w:r>
        <w:rPr>
          <w:rFonts w:ascii="Times New Roman" w:hAnsi="Times New Roman"/>
          <w:sz w:val="28"/>
        </w:rPr>
        <w:t xml:space="preserve">а</w:t>
      </w:r>
      <w:r>
        <w:rPr>
          <w:rFonts w:ascii="Times New Roman" w:hAnsi="Times New Roman"/>
          <w:sz w:val="28"/>
        </w:rPr>
        <w:t xml:space="preserve"> в форме субсидии 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проведение Окружного фестиваля родных языков в размере 9,2 тыс. рублей возвращен в окружной бюджет с соблюдением установленных сроков.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</w:t>
      </w:r>
      <w:r>
        <w:rPr>
          <w:rFonts w:ascii="Times New Roman" w:hAnsi="Times New Roman"/>
          <w:sz w:val="28"/>
        </w:rPr>
        <w:t xml:space="preserve">. Установленные </w:t>
      </w:r>
      <w:r>
        <w:rPr>
          <w:rFonts w:ascii="Times New Roman" w:hAnsi="Times New Roman"/>
          <w:sz w:val="28"/>
        </w:rPr>
        <w:t xml:space="preserve">с</w:t>
      </w:r>
      <w:r>
        <w:rPr>
          <w:rFonts w:ascii="Times New Roman" w:hAnsi="Times New Roman"/>
          <w:sz w:val="28"/>
        </w:rPr>
        <w:t xml:space="preserve">оглашениями значени</w:t>
      </w:r>
      <w:r>
        <w:rPr>
          <w:rFonts w:ascii="Times New Roman" w:hAnsi="Times New Roman"/>
          <w:sz w:val="28"/>
        </w:rPr>
        <w:t xml:space="preserve">я</w:t>
      </w:r>
      <w:r>
        <w:rPr>
          <w:rFonts w:ascii="Times New Roman" w:hAnsi="Times New Roman"/>
          <w:sz w:val="28"/>
        </w:rPr>
        <w:t xml:space="preserve"> результатов предоставления субсидии на иные   цели   и  гранта  </w:t>
      </w:r>
      <w:r>
        <w:rPr>
          <w:rFonts w:ascii="Times New Roman" w:hAnsi="Times New Roman"/>
          <w:sz w:val="28"/>
        </w:rPr>
        <w:t xml:space="preserve">в форме субсидии</w:t>
      </w:r>
      <w:r>
        <w:rPr>
          <w:rFonts w:ascii="Times New Roman" w:hAnsi="Times New Roman"/>
          <w:sz w:val="28"/>
        </w:rPr>
        <w:t xml:space="preserve"> за  2025   год достигнуты.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При использовании </w:t>
      </w:r>
      <w:r>
        <w:rPr>
          <w:rFonts w:ascii="Times New Roman" w:hAnsi="Times New Roman"/>
          <w:sz w:val="28"/>
        </w:rPr>
        <w:t xml:space="preserve">бюджетных </w:t>
      </w:r>
      <w:r>
        <w:rPr>
          <w:rFonts w:ascii="Times New Roman" w:hAnsi="Times New Roman"/>
          <w:sz w:val="28"/>
        </w:rPr>
        <w:t xml:space="preserve">средств в рамках р</w:t>
      </w:r>
      <w:r>
        <w:rPr>
          <w:rFonts w:ascii="Times New Roman" w:hAnsi="Times New Roman"/>
          <w:sz w:val="28"/>
        </w:rPr>
        <w:t xml:space="preserve">еализаци</w:t>
      </w:r>
      <w:r>
        <w:rPr>
          <w:rFonts w:ascii="Times New Roman" w:hAnsi="Times New Roman"/>
          <w:sz w:val="28"/>
        </w:rPr>
        <w:t xml:space="preserve">и</w:t>
      </w:r>
      <w:r>
        <w:rPr>
          <w:rFonts w:ascii="Times New Roman" w:hAnsi="Times New Roman"/>
          <w:sz w:val="28"/>
        </w:rPr>
        <w:t xml:space="preserve"> комплекса процессных мероприятий «Поддержка, сохранение и развитие родных языков» </w:t>
      </w:r>
      <w:r>
        <w:rPr>
          <w:rFonts w:ascii="Times New Roman" w:hAnsi="Times New Roman"/>
          <w:sz w:val="28"/>
        </w:rPr>
        <w:t xml:space="preserve">выявлено </w:t>
      </w:r>
      <w:r>
        <w:rPr>
          <w:rFonts w:ascii="Times New Roman" w:hAnsi="Times New Roman"/>
          <w:sz w:val="28"/>
        </w:rPr>
        <w:t xml:space="preserve">3</w:t>
      </w:r>
      <w:r>
        <w:rPr>
          <w:rFonts w:ascii="Times New Roman" w:hAnsi="Times New Roman"/>
          <w:sz w:val="28"/>
        </w:rPr>
        <w:t xml:space="preserve">6</w:t>
      </w:r>
      <w:r>
        <w:rPr>
          <w:rFonts w:ascii="Times New Roman" w:hAnsi="Times New Roman"/>
          <w:sz w:val="28"/>
        </w:rPr>
        <w:t xml:space="preserve"> нар</w:t>
      </w:r>
      <w:r>
        <w:rPr>
          <w:rFonts w:ascii="Times New Roman" w:hAnsi="Times New Roman"/>
          <w:sz w:val="28"/>
        </w:rPr>
        <w:t xml:space="preserve">ушени</w:t>
      </w:r>
      <w:r>
        <w:rPr>
          <w:rFonts w:ascii="Times New Roman" w:hAnsi="Times New Roman"/>
          <w:sz w:val="28"/>
        </w:rPr>
        <w:t xml:space="preserve">й</w:t>
      </w:r>
      <w:r>
        <w:rPr>
          <w:rFonts w:ascii="Times New Roman" w:hAnsi="Times New Roman"/>
          <w:sz w:val="28"/>
        </w:rPr>
        <w:t xml:space="preserve"> бюджетного законодательства, в том числе</w:t>
      </w:r>
      <w:r>
        <w:rPr>
          <w:rFonts w:ascii="Times New Roman" w:hAnsi="Times New Roman"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1) </w:t>
      </w:r>
      <w:r>
        <w:rPr>
          <w:rFonts w:ascii="Times New Roman" w:hAnsi="Times New Roman"/>
          <w:color w:val="auto"/>
          <w:sz w:val="28"/>
        </w:rPr>
        <w:t xml:space="preserve">в нарушение статьи 78.1 БК РФ – </w:t>
      </w:r>
      <w:r>
        <w:rPr>
          <w:rFonts w:ascii="Times New Roman" w:hAnsi="Times New Roman"/>
          <w:color w:val="auto"/>
          <w:sz w:val="28"/>
        </w:rPr>
        <w:t xml:space="preserve">22</w:t>
      </w:r>
      <w:r>
        <w:rPr>
          <w:rFonts w:ascii="Times New Roman" w:hAnsi="Times New Roman"/>
          <w:color w:val="auto"/>
          <w:sz w:val="28"/>
        </w:rPr>
        <w:t xml:space="preserve"> нарушени</w:t>
      </w:r>
      <w:r>
        <w:rPr>
          <w:rFonts w:ascii="Times New Roman" w:hAnsi="Times New Roman"/>
          <w:color w:val="auto"/>
          <w:sz w:val="28"/>
        </w:rPr>
        <w:t xml:space="preserve">я;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2) </w:t>
      </w:r>
      <w:r>
        <w:rPr>
          <w:rFonts w:ascii="Times New Roman" w:hAnsi="Times New Roman"/>
          <w:color w:val="auto"/>
          <w:sz w:val="28"/>
        </w:rPr>
        <w:t xml:space="preserve">в нарушение статьи 158 БК РФ</w:t>
      </w:r>
      <w:r>
        <w:rPr>
          <w:rFonts w:ascii="Times New Roman" w:hAnsi="Times New Roman"/>
          <w:color w:val="auto"/>
          <w:sz w:val="28"/>
        </w:rPr>
        <w:t xml:space="preserve"> – 11 нарушений;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в нарушени</w:t>
      </w:r>
      <w:r>
        <w:rPr>
          <w:rFonts w:ascii="Times New Roman" w:hAnsi="Times New Roman"/>
          <w:sz w:val="28"/>
        </w:rPr>
        <w:t xml:space="preserve">е</w:t>
      </w:r>
      <w:r>
        <w:rPr>
          <w:rFonts w:ascii="Times New Roman" w:hAnsi="Times New Roman"/>
          <w:sz w:val="28"/>
        </w:rPr>
        <w:t xml:space="preserve"> статьи 179 БК РФ – 3 нарушени</w:t>
      </w:r>
      <w:r>
        <w:rPr>
          <w:rFonts w:ascii="Times New Roman" w:hAnsi="Times New Roman"/>
          <w:sz w:val="28"/>
        </w:rPr>
        <w:t xml:space="preserve">я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По результатам контрольного мероприятия выявлены следующие недостатки: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у</w:t>
      </w:r>
      <w:r>
        <w:rPr>
          <w:rFonts w:ascii="Times New Roman" w:hAnsi="Times New Roman"/>
          <w:sz w:val="28"/>
        </w:rPr>
        <w:t xml:space="preserve">становленно</w:t>
      </w:r>
      <w:r>
        <w:rPr>
          <w:rFonts w:ascii="Times New Roman" w:hAnsi="Times New Roman"/>
          <w:sz w:val="28"/>
        </w:rPr>
        <w:t xml:space="preserve"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Департаментом образования и науки Чукотского автономного округа </w:t>
      </w:r>
      <w:r>
        <w:rPr>
          <w:rFonts w:ascii="Times New Roman" w:hAnsi="Times New Roman"/>
          <w:sz w:val="28"/>
        </w:rPr>
        <w:t xml:space="preserve">на 2025 год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планов</w:t>
      </w:r>
      <w:r>
        <w:rPr>
          <w:rFonts w:ascii="Times New Roman" w:hAnsi="Times New Roman"/>
          <w:sz w:val="28"/>
        </w:rPr>
        <w:t xml:space="preserve">о</w:t>
      </w:r>
      <w:r>
        <w:rPr>
          <w:rFonts w:ascii="Times New Roman" w:hAnsi="Times New Roman"/>
          <w:sz w:val="28"/>
        </w:rPr>
        <w:t xml:space="preserve">е</w:t>
      </w:r>
      <w:r>
        <w:rPr>
          <w:rFonts w:ascii="Times New Roman" w:hAnsi="Times New Roman"/>
          <w:sz w:val="28"/>
        </w:rPr>
        <w:t xml:space="preserve"> значени</w:t>
      </w:r>
      <w:r>
        <w:rPr>
          <w:rFonts w:ascii="Times New Roman" w:hAnsi="Times New Roman"/>
          <w:sz w:val="28"/>
        </w:rPr>
        <w:t xml:space="preserve">е</w:t>
      </w:r>
      <w:r>
        <w:rPr>
          <w:rFonts w:ascii="Times New Roman" w:hAnsi="Times New Roman"/>
          <w:sz w:val="28"/>
        </w:rPr>
        <w:t xml:space="preserve"> результата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 субсидии на иные цели</w:t>
      </w:r>
      <w:r>
        <w:rPr>
          <w:rFonts w:ascii="Times New Roman" w:hAnsi="Times New Roman"/>
          <w:sz w:val="28"/>
        </w:rPr>
        <w:t xml:space="preserve">, перевыполнено в 9,9 раза</w:t>
      </w:r>
      <w:r>
        <w:rPr>
          <w:rFonts w:ascii="Times New Roman" w:hAnsi="Times New Roman"/>
          <w:sz w:val="28"/>
        </w:rPr>
        <w:t xml:space="preserve">. Указанное</w:t>
      </w:r>
      <w:r>
        <w:rPr>
          <w:rFonts w:ascii="Times New Roman" w:hAnsi="Times New Roman"/>
          <w:sz w:val="28"/>
        </w:rPr>
        <w:t xml:space="preserve"> свидетельствует об установлении заниженного планового результата предоставления субсидии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2)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н</w:t>
      </w:r>
      <w:r>
        <w:rPr>
          <w:rFonts w:ascii="Times New Roman" w:hAnsi="Times New Roman"/>
          <w:color w:val="auto"/>
          <w:sz w:val="28"/>
        </w:rPr>
        <w:t xml:space="preserve">еиспользованный </w:t>
      </w:r>
      <w:r>
        <w:rPr>
          <w:rFonts w:ascii="Times New Roman" w:hAnsi="Times New Roman"/>
          <w:color w:val="auto"/>
          <w:sz w:val="28"/>
        </w:rPr>
        <w:t xml:space="preserve">на 1 января 2026 года </w:t>
      </w:r>
      <w:r>
        <w:rPr>
          <w:rFonts w:ascii="Times New Roman" w:hAnsi="Times New Roman"/>
          <w:color w:val="auto"/>
          <w:sz w:val="28"/>
        </w:rPr>
        <w:t xml:space="preserve">остаток </w:t>
      </w:r>
      <w:r>
        <w:rPr>
          <w:rFonts w:ascii="Times New Roman" w:hAnsi="Times New Roman"/>
          <w:color w:val="auto"/>
          <w:sz w:val="28"/>
        </w:rPr>
        <w:t xml:space="preserve">бюджетных назначений, предусмотренных </w:t>
      </w:r>
      <w:r>
        <w:rPr>
          <w:rFonts w:ascii="Times New Roman" w:hAnsi="Times New Roman"/>
          <w:color w:val="auto"/>
          <w:sz w:val="28"/>
        </w:rPr>
        <w:t xml:space="preserve">Департаменту образования и науки Чукотского автономного округа </w:t>
      </w:r>
      <w:r>
        <w:rPr>
          <w:rFonts w:ascii="Times New Roman" w:hAnsi="Times New Roman"/>
          <w:color w:val="auto"/>
          <w:sz w:val="28"/>
        </w:rPr>
        <w:t xml:space="preserve">на предоставление </w:t>
      </w:r>
      <w:r>
        <w:rPr>
          <w:rFonts w:ascii="Times New Roman" w:hAnsi="Times New Roman"/>
          <w:color w:val="auto"/>
          <w:sz w:val="28"/>
        </w:rPr>
        <w:t xml:space="preserve">грант</w:t>
      </w:r>
      <w:r>
        <w:rPr>
          <w:rFonts w:ascii="Times New Roman" w:hAnsi="Times New Roman"/>
          <w:color w:val="auto"/>
          <w:sz w:val="28"/>
        </w:rPr>
        <w:t xml:space="preserve">а</w:t>
      </w:r>
      <w:r>
        <w:rPr>
          <w:rFonts w:ascii="Times New Roman" w:hAnsi="Times New Roman"/>
          <w:color w:val="auto"/>
          <w:sz w:val="28"/>
        </w:rPr>
        <w:t xml:space="preserve"> в форме субсидии на проведение Окружного фестиваля родных языков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составил 861,4 тыс. рублей</w:t>
      </w:r>
      <w:r>
        <w:rPr>
          <w:rFonts w:ascii="Times New Roman" w:hAnsi="Times New Roman"/>
          <w:color w:val="auto"/>
          <w:sz w:val="28"/>
        </w:rPr>
        <w:t xml:space="preserve">, что составляет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37,5% от объема бюджетных ассигнований, утвержденного Законом о бюджете на 2025 год, или </w:t>
      </w:r>
      <w:r>
        <w:rPr>
          <w:rFonts w:ascii="Times New Roman" w:hAnsi="Times New Roman"/>
          <w:color w:val="auto"/>
          <w:sz w:val="28"/>
        </w:rPr>
        <w:t xml:space="preserve">25,6% от </w:t>
      </w:r>
      <w:r>
        <w:rPr>
          <w:rFonts w:ascii="Times New Roman" w:hAnsi="Times New Roman"/>
          <w:color w:val="auto"/>
          <w:sz w:val="28"/>
        </w:rPr>
        <w:t xml:space="preserve">плановых назначений сводной бюджетной росписи от 30 декабря 2025 года. </w:t>
      </w:r>
      <w:r>
        <w:rPr>
          <w:rFonts w:ascii="Times New Roman" w:hAnsi="Times New Roman"/>
          <w:color w:val="auto"/>
          <w:sz w:val="28"/>
        </w:rPr>
        <w:t xml:space="preserve">Указанное свидетельствует о некачественном планировании объемов </w:t>
      </w:r>
      <w:r>
        <w:rPr>
          <w:rFonts w:ascii="Times New Roman" w:hAnsi="Times New Roman"/>
          <w:color w:val="auto"/>
          <w:sz w:val="28"/>
        </w:rPr>
        <w:t xml:space="preserve">бюджетных ассигнований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на данную цель</w:t>
      </w:r>
      <w:r>
        <w:rPr>
          <w:rFonts w:ascii="Times New Roman" w:hAnsi="Times New Roman"/>
          <w:color w:val="auto"/>
          <w:sz w:val="28"/>
        </w:rPr>
        <w:t xml:space="preserve">;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3) у</w:t>
      </w:r>
      <w:r>
        <w:rPr>
          <w:rFonts w:ascii="Times New Roman" w:hAnsi="Times New Roman"/>
          <w:color w:val="auto"/>
          <w:sz w:val="28"/>
        </w:rPr>
        <w:t xml:space="preserve">становленный Порядком предоставления грантов некоммерческим организациям на проведение Окружного фестиваля родных языков тип результата предоставления гранта «приобретение товаров, работ, услуг» не соответствует фактической цели предоставления гранта, </w:t>
      </w:r>
      <w:r>
        <w:rPr>
          <w:rFonts w:ascii="Times New Roman" w:hAnsi="Times New Roman"/>
          <w:color w:val="auto"/>
          <w:sz w:val="28"/>
        </w:rPr>
        <w:t xml:space="preserve">что </w:t>
      </w:r>
      <w:r>
        <w:rPr>
          <w:rFonts w:ascii="Times New Roman" w:hAnsi="Times New Roman"/>
          <w:color w:val="auto"/>
          <w:sz w:val="28"/>
        </w:rPr>
        <w:t xml:space="preserve">влечет невозможность корректного осуществления мониторинга </w:t>
      </w:r>
      <w:r>
        <w:rPr>
          <w:rFonts w:ascii="Times New Roman" w:hAnsi="Times New Roman"/>
          <w:color w:val="auto"/>
          <w:sz w:val="28"/>
        </w:rPr>
        <w:t xml:space="preserve">согласно </w:t>
      </w:r>
      <w:r>
        <w:rPr>
          <w:rFonts w:ascii="Times New Roman" w:hAnsi="Times New Roman"/>
          <w:color w:val="auto"/>
          <w:sz w:val="28"/>
        </w:rPr>
        <w:t xml:space="preserve">требовани</w:t>
      </w:r>
      <w:r>
        <w:rPr>
          <w:rFonts w:ascii="Times New Roman" w:hAnsi="Times New Roman"/>
          <w:color w:val="auto"/>
          <w:sz w:val="28"/>
        </w:rPr>
        <w:t xml:space="preserve">й</w:t>
      </w:r>
      <w:r>
        <w:rPr>
          <w:rFonts w:ascii="Times New Roman" w:hAnsi="Times New Roman"/>
          <w:color w:val="auto"/>
          <w:sz w:val="28"/>
        </w:rPr>
        <w:t xml:space="preserve">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</w:t>
      </w:r>
      <w:r>
        <w:rPr>
          <w:rFonts w:ascii="Times New Roman" w:hAnsi="Times New Roman"/>
          <w:color w:val="auto"/>
          <w:sz w:val="28"/>
        </w:rPr>
        <w:t xml:space="preserve">ивидуальным предпринимателям, физическим лицам - производителям товаров, работ, услуг утвержденного Приказом Министерства финансов РФ от 27 апреля 2024 № 53н. Исходя из положений Порядка проведения мониторинга типом результата предоставления гранта должно </w:t>
      </w:r>
      <w:r>
        <w:rPr>
          <w:rFonts w:ascii="Times New Roman" w:hAnsi="Times New Roman"/>
          <w:color w:val="auto"/>
          <w:sz w:val="28"/>
        </w:rPr>
        <w:t xml:space="preserve">быть определено </w:t>
      </w:r>
      <w:r>
        <w:rPr>
          <w:rFonts w:ascii="Times New Roman" w:hAnsi="Times New Roman"/>
          <w:color w:val="auto"/>
          <w:sz w:val="28"/>
        </w:rPr>
        <w:t xml:space="preserve">«Проведение массовых мероприятий».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</w:t>
      </w:r>
      <w:r>
        <w:rPr>
          <w:rFonts w:ascii="Times New Roman" w:hAnsi="Times New Roman"/>
          <w:sz w:val="28"/>
        </w:rPr>
        <w:t xml:space="preserve">. При проверке использования бюджетных средств, направленных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реализацию </w:t>
      </w:r>
      <w:r>
        <w:rPr>
          <w:rFonts w:ascii="Times New Roman" w:hAnsi="Times New Roman"/>
          <w:sz w:val="28"/>
        </w:rPr>
        <w:t xml:space="preserve">к</w:t>
      </w:r>
      <w:r>
        <w:rPr>
          <w:rFonts w:ascii="Times New Roman" w:hAnsi="Times New Roman"/>
          <w:sz w:val="28"/>
        </w:rPr>
        <w:t xml:space="preserve">омплекса процессных мероприятий </w:t>
      </w:r>
      <w:r>
        <w:rPr>
          <w:rFonts w:ascii="Times New Roman" w:hAnsi="Times New Roman"/>
          <w:sz w:val="28"/>
        </w:rPr>
        <w:t xml:space="preserve">«Поддержка, сохранение и развитие родных языков»</w:t>
      </w:r>
      <w:r>
        <w:rPr>
          <w:rFonts w:ascii="Times New Roman" w:hAnsi="Times New Roman"/>
          <w:sz w:val="28"/>
        </w:rPr>
        <w:t xml:space="preserve"> в действиях должностных лиц Департамента </w:t>
      </w:r>
      <w:r>
        <w:rPr>
          <w:rFonts w:ascii="Times New Roman" w:hAnsi="Times New Roman"/>
          <w:sz w:val="28"/>
        </w:rPr>
        <w:t xml:space="preserve">образования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науки Чукотского автономного округа </w:t>
      </w:r>
      <w:r>
        <w:rPr>
          <w:rFonts w:ascii="Times New Roman" w:hAnsi="Times New Roman"/>
          <w:sz w:val="28"/>
        </w:rPr>
        <w:t xml:space="preserve">установлены признаки </w:t>
      </w:r>
      <w:r>
        <w:rPr>
          <w:rFonts w:ascii="Times New Roman" w:hAnsi="Times New Roman"/>
          <w:sz w:val="28"/>
        </w:rPr>
        <w:t xml:space="preserve">2</w:t>
      </w:r>
      <w:r>
        <w:rPr>
          <w:rFonts w:ascii="Times New Roman" w:hAnsi="Times New Roman"/>
          <w:sz w:val="28"/>
        </w:rPr>
        <w:t xml:space="preserve"> составов административных правонарушений, в отношении которых ведется работа по составлению административных протоколов.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sz w:val="28"/>
        </w:rPr>
        <w:outlineLvl w:val="0"/>
      </w:pPr>
      <w:r>
        <w:rPr>
          <w:rFonts w:ascii="Times New Roman" w:hAnsi="Times New Roman"/>
          <w:b/>
          <w:sz w:val="28"/>
        </w:rPr>
        <w:t xml:space="preserve">Предложения (рекомендации)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1. Утвердить отчет о результатах контрольного мероприя</w:t>
      </w:r>
      <w:r>
        <w:rPr>
          <w:rFonts w:ascii="Times New Roman" w:hAnsi="Times New Roman"/>
          <w:sz w:val="28"/>
        </w:rPr>
        <w:t xml:space="preserve">тия  «Проверка использования бюджетных средств, направленных на 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 в 2025 году»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Отчет о результатах контрольного мероприятия  «Проверка использования бюджетных средств, направленных н</w:t>
      </w:r>
      <w:r>
        <w:rPr>
          <w:rFonts w:ascii="Times New Roman" w:hAnsi="Times New Roman"/>
          <w:sz w:val="28"/>
        </w:rPr>
        <w:t xml:space="preserve">а 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 в 2025 году» направить в Думу и Губернатору Чукотского автономного округа.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Направить представление в адрес Департамента образования и науки Чукотского автономного округа с предложением</w:t>
      </w:r>
      <w:r>
        <w:t xml:space="preserve"> </w:t>
      </w:r>
      <w:r>
        <w:rPr>
          <w:rFonts w:ascii="Times New Roman" w:hAnsi="Times New Roman"/>
          <w:sz w:val="28"/>
        </w:rPr>
        <w:t xml:space="preserve">в срок до </w:t>
      </w:r>
      <w:r>
        <w:rPr>
          <w:rFonts w:ascii="Times New Roman" w:hAnsi="Times New Roman"/>
          <w:sz w:val="28"/>
        </w:rPr>
        <w:t xml:space="preserve">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сентября</w:t>
      </w:r>
      <w:r>
        <w:rPr>
          <w:rFonts w:ascii="Times New Roman" w:hAnsi="Times New Roman"/>
          <w:sz w:val="28"/>
        </w:rPr>
        <w:t xml:space="preserve"> 2026 года </w:t>
      </w:r>
      <w:r>
        <w:rPr>
          <w:rFonts w:ascii="Times New Roman" w:hAnsi="Times New Roman"/>
          <w:sz w:val="28"/>
        </w:rPr>
        <w:t xml:space="preserve">подготовить </w:t>
      </w:r>
      <w:r>
        <w:rPr>
          <w:rFonts w:ascii="Times New Roman" w:hAnsi="Times New Roman"/>
          <w:sz w:val="28"/>
        </w:rPr>
        <w:t xml:space="preserve">и представить в Правительство Чукотского автономного округа предложени</w:t>
      </w:r>
      <w:r>
        <w:rPr>
          <w:rFonts w:ascii="Times New Roman" w:hAnsi="Times New Roman"/>
          <w:sz w:val="28"/>
        </w:rPr>
        <w:t xml:space="preserve">я</w:t>
      </w:r>
      <w:r>
        <w:rPr>
          <w:rFonts w:ascii="Times New Roman" w:hAnsi="Times New Roman"/>
          <w:sz w:val="28"/>
        </w:rPr>
        <w:t xml:space="preserve"> о внесении </w:t>
      </w:r>
      <w:r>
        <w:rPr>
          <w:rFonts w:ascii="Times New Roman" w:hAnsi="Times New Roman"/>
          <w:sz w:val="28"/>
        </w:rPr>
        <w:t xml:space="preserve">изменени</w:t>
      </w:r>
      <w:r>
        <w:rPr>
          <w:rFonts w:ascii="Times New Roman" w:hAnsi="Times New Roman"/>
          <w:sz w:val="28"/>
        </w:rPr>
        <w:t xml:space="preserve">й</w:t>
      </w:r>
      <w:r>
        <w:rPr>
          <w:rFonts w:ascii="Times New Roman" w:hAnsi="Times New Roman"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 xml:space="preserve">в  </w:t>
      </w:r>
      <w:r>
        <w:rPr>
          <w:rFonts w:ascii="Times New Roman" w:hAnsi="Times New Roman"/>
          <w:sz w:val="28"/>
        </w:rPr>
        <w:t xml:space="preserve">государственн</w:t>
      </w:r>
      <w:r>
        <w:rPr>
          <w:rFonts w:ascii="Times New Roman" w:hAnsi="Times New Roman"/>
          <w:sz w:val="28"/>
        </w:rPr>
        <w:t xml:space="preserve">ую</w:t>
      </w:r>
      <w:r>
        <w:rPr>
          <w:rFonts w:ascii="Times New Roman" w:hAnsi="Times New Roman"/>
          <w:sz w:val="28"/>
        </w:rPr>
        <w:t xml:space="preserve"> программ</w:t>
      </w:r>
      <w:r>
        <w:rPr>
          <w:rFonts w:ascii="Times New Roman" w:hAnsi="Times New Roman"/>
          <w:sz w:val="28"/>
        </w:rPr>
        <w:t xml:space="preserve">у</w:t>
      </w:r>
      <w:r>
        <w:rPr>
          <w:rFonts w:ascii="Times New Roman" w:hAnsi="Times New Roman"/>
          <w:sz w:val="28"/>
        </w:rPr>
        <w:t xml:space="preserve"> «Развитие образования и науки Чукотского автономного округа»</w:t>
      </w:r>
      <w:r>
        <w:rPr>
          <w:rFonts w:ascii="Times New Roman" w:hAnsi="Times New Roman"/>
          <w:sz w:val="28"/>
        </w:rPr>
        <w:t xml:space="preserve">, утвержденную Постановлением Правительства Чукотского автономного округа от </w:t>
      </w:r>
      <w:r>
        <w:rPr>
          <w:rFonts w:ascii="Times New Roman" w:hAnsi="Times New Roman"/>
          <w:sz w:val="28"/>
        </w:rPr>
        <w:t xml:space="preserve">1</w:t>
      </w:r>
      <w:r>
        <w:rPr>
          <w:rFonts w:ascii="Times New Roman" w:hAnsi="Times New Roman"/>
          <w:sz w:val="28"/>
        </w:rPr>
        <w:t xml:space="preserve">1</w:t>
      </w:r>
      <w:r>
        <w:rPr>
          <w:rFonts w:ascii="Times New Roman" w:hAnsi="Times New Roman"/>
          <w:sz w:val="28"/>
        </w:rPr>
        <w:t xml:space="preserve"> декабря 2023 года </w:t>
      </w:r>
      <w:r>
        <w:rPr>
          <w:rFonts w:ascii="Times New Roman" w:hAnsi="Times New Roman"/>
          <w:sz w:val="28"/>
        </w:rPr>
        <w:t xml:space="preserve">№</w:t>
      </w:r>
      <w:r>
        <w:rPr>
          <w:rFonts w:ascii="Times New Roman" w:hAnsi="Times New Roman"/>
          <w:sz w:val="28"/>
        </w:rPr>
        <w:t xml:space="preserve"> 452</w:t>
      </w:r>
      <w:r>
        <w:rPr>
          <w:rFonts w:ascii="Times New Roman" w:hAnsi="Times New Roman"/>
          <w:sz w:val="28"/>
        </w:rPr>
        <w:t xml:space="preserve">, в части</w:t>
      </w:r>
      <w:r>
        <w:rPr>
          <w:rFonts w:ascii="Times New Roman" w:hAnsi="Times New Roman"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приведения </w:t>
      </w:r>
      <w:r>
        <w:rPr>
          <w:rFonts w:ascii="Times New Roman" w:hAnsi="Times New Roman"/>
          <w:sz w:val="28"/>
        </w:rPr>
        <w:t xml:space="preserve">национальны</w:t>
      </w:r>
      <w:r>
        <w:rPr>
          <w:rFonts w:ascii="Times New Roman" w:hAnsi="Times New Roman"/>
          <w:sz w:val="28"/>
        </w:rPr>
        <w:t xml:space="preserve">х</w:t>
      </w:r>
      <w:r>
        <w:rPr>
          <w:rFonts w:ascii="Times New Roman" w:hAnsi="Times New Roman"/>
          <w:sz w:val="28"/>
        </w:rPr>
        <w:t xml:space="preserve"> цел</w:t>
      </w:r>
      <w:r>
        <w:rPr>
          <w:rFonts w:ascii="Times New Roman" w:hAnsi="Times New Roman"/>
          <w:sz w:val="28"/>
        </w:rPr>
        <w:t xml:space="preserve">ей</w:t>
      </w:r>
      <w:r>
        <w:rPr>
          <w:rFonts w:ascii="Times New Roman" w:hAnsi="Times New Roman"/>
          <w:sz w:val="28"/>
        </w:rPr>
        <w:t xml:space="preserve"> развития </w:t>
      </w:r>
      <w:r>
        <w:rPr>
          <w:rFonts w:ascii="Times New Roman" w:hAnsi="Times New Roman"/>
          <w:sz w:val="28"/>
        </w:rPr>
        <w:t xml:space="preserve">в соответстви</w:t>
      </w:r>
      <w:r>
        <w:rPr>
          <w:rFonts w:ascii="Times New Roman" w:hAnsi="Times New Roman"/>
          <w:sz w:val="28"/>
        </w:rPr>
        <w:t xml:space="preserve">е</w:t>
      </w:r>
      <w:r>
        <w:rPr>
          <w:rFonts w:ascii="Times New Roman" w:hAnsi="Times New Roman"/>
          <w:sz w:val="28"/>
        </w:rPr>
        <w:t xml:space="preserve"> с Указом Президента Российской Федерации от 7 мая 2024 года № 309 «О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национальных целях развития Российской Федерации на период </w:t>
      </w:r>
      <w:r>
        <w:rPr>
          <w:rFonts w:ascii="Times New Roman" w:hAnsi="Times New Roman"/>
          <w:sz w:val="28"/>
        </w:rPr>
        <w:t xml:space="preserve">до 2030 года и на перспективу до 2036 года»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</w:t>
      </w:r>
      <w:r>
        <w:rPr>
          <w:rFonts w:ascii="Times New Roman" w:hAnsi="Times New Roman"/>
          <w:sz w:val="28"/>
        </w:rPr>
        <w:t xml:space="preserve">предел</w:t>
      </w:r>
      <w:r>
        <w:rPr>
          <w:rFonts w:ascii="Times New Roman" w:hAnsi="Times New Roman"/>
          <w:sz w:val="28"/>
        </w:rPr>
        <w:t xml:space="preserve">ения</w:t>
      </w:r>
      <w:r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 xml:space="preserve">ей</w:t>
      </w:r>
      <w:r>
        <w:rPr>
          <w:rFonts w:ascii="Times New Roman" w:hAnsi="Times New Roman"/>
          <w:sz w:val="28"/>
        </w:rPr>
        <w:t xml:space="preserve">, характеризующи</w:t>
      </w:r>
      <w:r>
        <w:rPr>
          <w:rFonts w:ascii="Times New Roman" w:hAnsi="Times New Roman"/>
          <w:sz w:val="28"/>
        </w:rPr>
        <w:t xml:space="preserve">х</w:t>
      </w:r>
      <w:r>
        <w:rPr>
          <w:rFonts w:ascii="Times New Roman" w:hAnsi="Times New Roman"/>
          <w:sz w:val="28"/>
        </w:rPr>
        <w:t xml:space="preserve"> достижение национальных целей развития;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Порядок предоставления грантов некоммерческим организациям на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проведение Окружного фестиваля родных языков</w:t>
      </w:r>
      <w:r>
        <w:rPr>
          <w:rFonts w:ascii="Times New Roman" w:hAnsi="Times New Roman"/>
          <w:sz w:val="28"/>
        </w:rPr>
        <w:t xml:space="preserve">, утвержденный </w:t>
      </w:r>
      <w:r>
        <w:rPr>
          <w:rFonts w:ascii="Times New Roman" w:hAnsi="Times New Roman"/>
          <w:sz w:val="28"/>
        </w:rPr>
        <w:t xml:space="preserve">Постановление</w:t>
      </w:r>
      <w:r>
        <w:rPr>
          <w:rFonts w:ascii="Times New Roman" w:hAnsi="Times New Roman"/>
          <w:sz w:val="28"/>
        </w:rPr>
        <w:t xml:space="preserve">м</w:t>
      </w:r>
      <w:r>
        <w:rPr>
          <w:rFonts w:ascii="Times New Roman" w:hAnsi="Times New Roman"/>
          <w:sz w:val="28"/>
        </w:rPr>
        <w:t xml:space="preserve"> Правительства Чукотского автономного округа от 8</w:t>
      </w:r>
      <w:r>
        <w:rPr>
          <w:rFonts w:ascii="Times New Roman" w:hAnsi="Times New Roman"/>
          <w:sz w:val="28"/>
        </w:rPr>
        <w:t xml:space="preserve"> июля </w:t>
      </w:r>
      <w:r>
        <w:rPr>
          <w:rFonts w:ascii="Times New Roman" w:hAnsi="Times New Roman"/>
          <w:sz w:val="28"/>
        </w:rPr>
        <w:t xml:space="preserve">2021 </w:t>
      </w:r>
      <w:r>
        <w:rPr>
          <w:rFonts w:ascii="Times New Roman" w:hAnsi="Times New Roman"/>
          <w:sz w:val="28"/>
        </w:rPr>
        <w:t xml:space="preserve">года №</w:t>
      </w:r>
      <w:r>
        <w:rPr>
          <w:rFonts w:ascii="Times New Roman" w:hAnsi="Times New Roman"/>
          <w:sz w:val="28"/>
        </w:rPr>
        <w:t xml:space="preserve"> 297</w:t>
      </w:r>
      <w:r>
        <w:rPr>
          <w:rFonts w:ascii="Times New Roman" w:hAnsi="Times New Roman"/>
          <w:sz w:val="28"/>
        </w:rPr>
        <w:t xml:space="preserve">, в части</w:t>
      </w:r>
      <w:r>
        <w:rPr>
          <w:rFonts w:ascii="Times New Roman" w:hAnsi="Times New Roman"/>
          <w:sz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</w:t>
      </w:r>
      <w:r>
        <w:rPr>
          <w:rFonts w:ascii="Times New Roman" w:hAnsi="Times New Roman"/>
          <w:sz w:val="28"/>
        </w:rPr>
        <w:t xml:space="preserve">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тип</w:t>
      </w:r>
      <w:r>
        <w:rPr>
          <w:rFonts w:ascii="Times New Roman" w:hAnsi="Times New Roman"/>
          <w:sz w:val="28"/>
        </w:rPr>
        <w:t xml:space="preserve">а</w:t>
      </w:r>
      <w:r>
        <w:rPr>
          <w:rFonts w:ascii="Times New Roman" w:hAnsi="Times New Roman"/>
          <w:sz w:val="28"/>
        </w:rPr>
        <w:t xml:space="preserve"> результата предоставления гранта </w:t>
      </w:r>
      <w:r>
        <w:rPr>
          <w:rFonts w:ascii="Times New Roman" w:hAnsi="Times New Roman"/>
          <w:sz w:val="28"/>
        </w:rPr>
        <w:t xml:space="preserve">на</w:t>
      </w:r>
      <w:r>
        <w:rPr>
          <w:rFonts w:ascii="Times New Roman" w:hAnsi="Times New Roman"/>
          <w:sz w:val="28"/>
        </w:rPr>
        <w:t xml:space="preserve"> «Проведение массовых мероприятий»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</w:t>
      </w:r>
      <w:r>
        <w:rPr>
          <w:rFonts w:ascii="Times New Roman" w:hAnsi="Times New Roman"/>
          <w:sz w:val="28"/>
        </w:rPr>
        <w:t xml:space="preserve">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срок</w:t>
      </w:r>
      <w:r>
        <w:rPr>
          <w:rFonts w:ascii="Times New Roman" w:hAnsi="Times New Roman"/>
          <w:sz w:val="28"/>
        </w:rPr>
        <w:t xml:space="preserve">ов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ежеквартальн</w:t>
      </w:r>
      <w:r>
        <w:rPr>
          <w:rFonts w:ascii="Times New Roman" w:hAnsi="Times New Roman"/>
          <w:sz w:val="28"/>
        </w:rPr>
        <w:t xml:space="preserve">ой</w:t>
      </w:r>
      <w:r>
        <w:rPr>
          <w:rFonts w:ascii="Times New Roman" w:hAnsi="Times New Roman"/>
          <w:sz w:val="28"/>
        </w:rPr>
        <w:t xml:space="preserve"> периодичност</w:t>
      </w:r>
      <w:r>
        <w:rPr>
          <w:rFonts w:ascii="Times New Roman" w:hAnsi="Times New Roman"/>
          <w:sz w:val="28"/>
        </w:rPr>
        <w:t xml:space="preserve">и</w:t>
      </w:r>
      <w:r>
        <w:rPr>
          <w:rFonts w:ascii="Times New Roman" w:hAnsi="Times New Roman"/>
          <w:sz w:val="28"/>
        </w:rPr>
        <w:t xml:space="preserve"> представления </w:t>
      </w:r>
      <w:r>
        <w:rPr>
          <w:rFonts w:ascii="Times New Roman" w:hAnsi="Times New Roman"/>
          <w:sz w:val="28"/>
        </w:rPr>
        <w:t xml:space="preserve">получателем гранта </w:t>
      </w:r>
      <w:r>
        <w:rPr>
          <w:rFonts w:ascii="Times New Roman" w:hAnsi="Times New Roman"/>
          <w:sz w:val="28"/>
        </w:rPr>
        <w:t xml:space="preserve">отчет</w:t>
      </w:r>
      <w:r>
        <w:rPr>
          <w:rFonts w:ascii="Times New Roman" w:hAnsi="Times New Roman"/>
          <w:sz w:val="28"/>
        </w:rPr>
        <w:t xml:space="preserve">а</w:t>
      </w:r>
      <w:r>
        <w:rPr>
          <w:rFonts w:ascii="Times New Roman" w:hAnsi="Times New Roman"/>
          <w:sz w:val="28"/>
        </w:rPr>
        <w:t xml:space="preserve"> о направлениях расходования средств гранта с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приложением копий документов, подтверждающих понесенные расходы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</w:t>
      </w:r>
      <w:r>
        <w:rPr>
          <w:rFonts w:ascii="Times New Roman" w:hAnsi="Times New Roman"/>
          <w:sz w:val="28"/>
        </w:rPr>
        <w:t xml:space="preserve">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срок</w:t>
      </w:r>
      <w:r>
        <w:rPr>
          <w:rFonts w:ascii="Times New Roman" w:hAnsi="Times New Roman"/>
          <w:sz w:val="28"/>
        </w:rPr>
        <w:t xml:space="preserve">ов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ежеквартальн</w:t>
      </w:r>
      <w:r>
        <w:rPr>
          <w:rFonts w:ascii="Times New Roman" w:hAnsi="Times New Roman"/>
          <w:sz w:val="28"/>
        </w:rPr>
        <w:t xml:space="preserve">ой </w:t>
      </w:r>
      <w:r>
        <w:rPr>
          <w:rFonts w:ascii="Times New Roman" w:hAnsi="Times New Roman"/>
          <w:sz w:val="28"/>
        </w:rPr>
        <w:t xml:space="preserve">периодичност</w:t>
      </w:r>
      <w:r>
        <w:rPr>
          <w:rFonts w:ascii="Times New Roman" w:hAnsi="Times New Roman"/>
          <w:sz w:val="28"/>
        </w:rPr>
        <w:t xml:space="preserve">и</w:t>
      </w:r>
      <w:r>
        <w:rPr>
          <w:rFonts w:ascii="Times New Roman" w:hAnsi="Times New Roman"/>
          <w:sz w:val="28"/>
        </w:rPr>
        <w:t xml:space="preserve"> представления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получателем гранта </w:t>
      </w:r>
      <w:r>
        <w:rPr>
          <w:rFonts w:ascii="Times New Roman" w:hAnsi="Times New Roman"/>
          <w:sz w:val="28"/>
        </w:rPr>
        <w:t xml:space="preserve">отчет</w:t>
      </w:r>
      <w:r>
        <w:rPr>
          <w:rFonts w:ascii="Times New Roman" w:hAnsi="Times New Roman"/>
          <w:sz w:val="28"/>
        </w:rPr>
        <w:t xml:space="preserve">а</w:t>
      </w:r>
      <w:r>
        <w:rPr>
          <w:rFonts w:ascii="Times New Roman" w:hAnsi="Times New Roman"/>
          <w:sz w:val="28"/>
        </w:rPr>
        <w:t xml:space="preserve"> о реализации плана мероприятий по достижению результата предоставления гранта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Аудитор Счетной палаты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Чукотского автономного округа</w:t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  <w:t xml:space="preserve">        Л.П. Шадрина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ОТЧЕТ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результатам </w:t>
      </w:r>
      <w:bookmarkStart w:id="0" w:name="undefine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экспертно-аналитического мероприятия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/>
      <w:bookmarkStart w:id="0" w:name="undefine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Анализ реализации национальных проектов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Чукотском автономном округе за 2025 год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441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утвержден Коллегией Счетной палаты Чукотского автономного округа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441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(протокол от 28 апреля 2026 года №6)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left="57" w:right="57" w:firstLine="708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Основание для проведения экспертно-аналитического мероприятия: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ункт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Плана работы Счетной палаты Чукотского автономного округа на 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год, утвержденного решением Коллегии Счетной палаты (протокол от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декабря 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Предмет экспертно-аналитического мероприятия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исполнительных органов государственной власти по реализации региональных проектов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национальных проектов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Чукотском автономном округе.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 экспертно-аналитического мероприятия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проектов за 2025 год.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Вопросы: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 w:line="240" w:lineRule="auto"/>
        <w:rPr>
          <w:b/>
          <w:color w:val="000000" w:themeColor="text1"/>
        </w:rPr>
      </w:pPr>
      <w:r>
        <w:rPr>
          <w:color w:val="000000" w:themeColor="text1"/>
        </w:rPr>
        <w:t xml:space="preserve">1. Оценка общих итогов реализации региональных проектов </w:t>
      </w:r>
      <w:r>
        <w:rPr>
          <w:rFonts w:eastAsia="Calibri"/>
          <w:color w:val="000000" w:themeColor="text1"/>
        </w:rPr>
        <w:t xml:space="preserve">в рамках национальных проектов</w:t>
      </w:r>
      <w:r>
        <w:rPr>
          <w:color w:val="000000" w:themeColor="text1"/>
        </w:rPr>
        <w:t xml:space="preserve">, анализ отчетов о ходе реализации региональных проектов.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2. Исполнение </w:t>
      </w:r>
      <w:r>
        <w:rPr>
          <w:color w:val="000000" w:themeColor="text1"/>
        </w:rPr>
        <w:t xml:space="preserve">отдельных </w:t>
      </w:r>
      <w:r>
        <w:rPr>
          <w:color w:val="000000" w:themeColor="text1"/>
        </w:rPr>
        <w:t xml:space="preserve">региональных проектов </w:t>
      </w:r>
      <w:r>
        <w:rPr>
          <w:rFonts w:eastAsia="Calibri"/>
          <w:color w:val="000000" w:themeColor="text1"/>
        </w:rPr>
        <w:t xml:space="preserve">в рамках национальных проектов </w:t>
      </w:r>
      <w:r>
        <w:rPr>
          <w:color w:val="000000" w:themeColor="text1"/>
        </w:rPr>
        <w:t xml:space="preserve">Чукотского автономного округа.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pStyle w:val="4482"/>
        <w:spacing w:before="0" w:beforeAutospacing="0" w:after="0" w:afterAutospacing="0" w:line="240" w:lineRule="auto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Объекты </w:t>
      </w:r>
      <w:r>
        <w:rPr>
          <w:b/>
          <w:bCs/>
          <w:color w:val="000000" w:themeColor="text1"/>
        </w:rPr>
        <w:t xml:space="preserve">экспертно-аналитического мероприятия</w:t>
      </w:r>
      <w:r>
        <w:rPr>
          <w:b/>
          <w:bCs/>
          <w:color w:val="000000" w:themeColor="text1"/>
        </w:rPr>
        <w:t xml:space="preserve">: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bCs/>
          <w:color w:val="000000" w:themeColor="text1"/>
        </w:rPr>
        <w:t xml:space="preserve">Департамент экономики и инвестиций Чукотского автономного округа, </w:t>
      </w:r>
      <w:r>
        <w:rPr>
          <w:bCs/>
          <w:color w:val="000000" w:themeColor="text1"/>
        </w:rPr>
        <w:tab/>
      </w:r>
      <w:r>
        <w:rPr>
          <w:color w:val="000000" w:themeColor="text1"/>
        </w:rPr>
        <w:t xml:space="preserve">Департамент культуры и туризма Чукотского автономного округа, 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Департамент промышленной политики Чукотского автономного округа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Департамент социальной политики Чукотского автономного округа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Департамент сельского хозяйства и продовольствия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ab/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Департамент здравоохранения Чукотского автономного округа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Департамент образования и науки Чукотского автономного округа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Департамент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природных ресурсов и экологии Чукотского автономного округа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ab/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Департамент строительства и жилищно-коммунального хозяйства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Чукотского автономного округа</w:t>
      </w:r>
      <w:r>
        <w:rPr>
          <w:color w:val="000000" w:themeColor="text1"/>
        </w:rPr>
        <w:t xml:space="preserve"> (далее – Департамент строительства)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Департамент цифрового развития Чукотского автономного округа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Управлени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 молодежной политики Чукотского автономного округа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Исследу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емый период деятельности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январь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декабрь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2025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Срок проведения экспертно-аналитического мероприятия: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кварталы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6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bCs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bCs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bCs/>
          <w:color w:val="000000" w:themeColor="text1"/>
          <w:sz w:val="4"/>
          <w:szCs w:val="4"/>
        </w:rPr>
      </w:r>
    </w:p>
    <w:p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 w:clear="all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следующие сокращения: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Национальный проект – нацпроект, НП;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Региональный проект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регпроект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, РП;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Сводная бюджетная роспись – СБР;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Государственный контракт – ГК.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Муниципальный контракт – МК.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10"/>
          <w:szCs w:val="10"/>
        </w:rPr>
      </w:pPr>
      <w:r>
        <w:rPr>
          <w:rFonts w:ascii="Times New Roman" w:hAnsi="Times New Roman" w:cs="Times New Roman"/>
          <w:color w:val="000000" w:themeColor="text1"/>
          <w:sz w:val="10"/>
          <w:szCs w:val="10"/>
        </w:rPr>
      </w:r>
      <w:r>
        <w:rPr>
          <w:rFonts w:ascii="Times New Roman" w:hAnsi="Times New Roman" w:cs="Times New Roman"/>
          <w:color w:val="000000" w:themeColor="text1"/>
          <w:sz w:val="10"/>
          <w:szCs w:val="10"/>
        </w:rPr>
      </w:r>
      <w:r>
        <w:rPr>
          <w:rFonts w:ascii="Times New Roman" w:hAnsi="Times New Roman" w:cs="Times New Roman"/>
          <w:color w:val="000000" w:themeColor="text1"/>
          <w:sz w:val="10"/>
          <w:szCs w:val="10"/>
        </w:rPr>
      </w:r>
    </w:p>
    <w:p>
      <w:pPr>
        <w:ind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Экспертно-аналитическое мероприятие проведено Счетной палатой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Чукотского автономного округа</w:t>
      </w:r>
      <w:r>
        <w:rPr>
          <w:rStyle w:val="4381"/>
          <w:rFonts w:ascii="Times New Roman" w:hAnsi="Times New Roman" w:cs="Times New Roman"/>
          <w:color w:val="000000" w:themeColor="text1"/>
          <w:sz w:val="28"/>
          <w:szCs w:val="28"/>
        </w:rPr>
        <w:footnoteReference w:id="25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полномочиями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внешнему государственному финансовому контролю, возложенными Законом Чукотского автономного округа от 30 июня 1998 года №36-ОЗ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Счетной палате Чукотского автономного округа», требованиями Федерального закона от 7 февраля 2011 года №6-ФЗ «Об общих принцип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 организации и деятельности контрольно-счетных органов субъектов Российской Федерации, федеральных территорий и муниципальных образований», в части обеспечения системного мониторинга и контроля реализации региональной составляющей национальных проектов.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Экспертно-аналитическое мероприятие проводилось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материалам, размещенным в официальных источниках информации (ГИИС «Электронный бюджет» (далее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ГИИС), ГИС «ЕИС ЗАКУПКИ» (далее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ЕИС)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и представленным объектами экспертно-аналитического мероприятия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отчетов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об исполнении региональных проектов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в рамках национальных проектов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экспертно-аналитического мероприятия установлено следующее.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pStyle w:val="4482"/>
        <w:spacing w:before="0" w:beforeAutospacing="0" w:after="0" w:afterAutospacing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Оценка общих итогов реализации региональных проектов </w:t>
      </w:r>
      <w:r>
        <w:rPr>
          <w:rFonts w:eastAsia="Calibri"/>
          <w:b/>
          <w:color w:val="000000" w:themeColor="text1"/>
        </w:rPr>
        <w:t xml:space="preserve">в рамках национальных проектов</w:t>
      </w:r>
      <w:r>
        <w:rPr>
          <w:b/>
          <w:color w:val="000000" w:themeColor="text1"/>
        </w:rPr>
        <w:t xml:space="preserve">, анализ отчетов о ходе реализации региональных проектов за 2025 год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6"/>
          <w:szCs w:val="6"/>
        </w:rPr>
      </w:pP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В рамках</w:t>
      </w:r>
      <w:r>
        <w:rPr>
          <w:color w:val="000000" w:themeColor="text1"/>
        </w:rPr>
        <w:t xml:space="preserve"> проведения отдельных мероприятий национальных проектов, разработанных на федеральном уровне в соответствии с Указом Президента Российской Федерации от 7 мая 2024 года №309 «О национальных целях Российской Федерации на период до 2030 года и на перспективу </w:t>
      </w:r>
      <w:r>
        <w:rPr>
          <w:color w:val="000000" w:themeColor="text1"/>
        </w:rPr>
        <w:t xml:space="preserve">до 2036 года», разработаны региональные проекты Чукотского автономного округа, мероприятия которых включены в государственные программы Чукотского автономного округа. 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Региональный проект Чукотского автономного округа </w:t>
      </w:r>
      <w:r>
        <w:rPr>
          <w:color w:val="000000" w:themeColor="text1"/>
        </w:rPr>
        <w:t xml:space="preserve">– </w:t>
      </w:r>
      <w:r>
        <w:rPr>
          <w:color w:val="000000" w:themeColor="text1"/>
        </w:rPr>
        <w:t xml:space="preserve">проект, обеспечивающий достижение и (или) вклад в достижение целей и (или) показателей и реализацию мероприятий (результатов) федерального проекта, входящего в состав национального проекта, и (или) структурных элементов </w:t>
      </w:r>
      <w:r>
        <w:rPr>
          <w:color w:val="000000" w:themeColor="text1"/>
        </w:rPr>
        <w:t xml:space="preserve">государственной программы Российской Федерации, и (или) государственной программы субъекта Российской Федерации</w:t>
      </w:r>
      <w:r>
        <w:rPr>
          <w:rStyle w:val="4381"/>
          <w:color w:val="000000" w:themeColor="text1"/>
        </w:rPr>
        <w:footnoteReference w:id="26"/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Организацию проектной деятельности в Чукотском автономном округе                    и межведомс</w:t>
      </w:r>
      <w:r>
        <w:rPr>
          <w:color w:val="000000" w:themeColor="text1"/>
        </w:rPr>
        <w:t xml:space="preserve">твенное взаимодействие в процессе подготовки, реализации (включая мониторинг и внесение изменений в проекты) и завершение реализации региональных проектов осуществляет отдельное структурное подразделение органа исполнительной власти Чукотского автономного </w:t>
      </w:r>
      <w:r>
        <w:rPr>
          <w:color w:val="000000" w:themeColor="text1"/>
        </w:rPr>
        <w:t xml:space="preserve">округа </w:t>
      </w:r>
      <w:r>
        <w:rPr>
          <w:color w:val="000000" w:themeColor="text1"/>
        </w:rPr>
        <w:t xml:space="preserve">–</w:t>
      </w:r>
      <w:r>
        <w:rPr>
          <w:color w:val="000000" w:themeColor="text1"/>
        </w:rPr>
        <w:t xml:space="preserve"> Проектный офис, функции  которого осуществляет </w:t>
      </w:r>
      <w:r>
        <w:rPr>
          <w:bCs/>
          <w:color w:val="000000" w:themeColor="text1"/>
        </w:rPr>
        <w:t xml:space="preserve">Департамент экономики и инвестиций</w:t>
      </w:r>
      <w:r>
        <w:rPr>
          <w:color w:val="000000" w:themeColor="text1"/>
        </w:rPr>
        <w:t xml:space="preserve">. Деятельность Проектного офиса регулируется Постановлением №286. 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Проектный офис курирует заместитель Губернатора Чукотского автономного округа, ответственный за организацию проектной деятельности.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Формирование, согласование (одобрение), утверждение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представление паспортов региональных проектов, запросов на изменение паспортов региональных проектов, а также иных документов и информации, разрабатываемых при осуществлении проектной деятельности осуществляются в подсистеме управления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национальными проектами ГИИС на основании соглашений о реализации региональных проектов, заключенных между отраслевым министерством РФ и Правительством Чукотского автономного округа. Проектный офис ежемесячно осуществляет мониторинг реализации РП в ГИИС.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Чукотский автономный округ принимает участие </w:t>
      </w:r>
      <w:r>
        <w:rPr>
          <w:color w:val="000000" w:themeColor="text1"/>
        </w:rPr>
        <w:t xml:space="preserve">в 12 из 19 национальных проектов («Продолжительная и активная жизнь», «Технологическое обеспечение продовольственной безопасности», «Инфраструктура для жизни», «Кадры»,</w:t>
      </w:r>
      <w:r>
        <w:rPr>
          <w:color w:val="000000" w:themeColor="text1"/>
        </w:rPr>
        <w:t xml:space="preserve"> «Туризм и гостеприимство», «Экономика данных и цифровая трансформация государства», «Экологическое благополучие», «Эффективная и конкурентная экономика», «Молодежь и дети», «Семья», «Международная кооперация и экспорт», «Беспилотные авиационные системы»).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2024-2030 годы в Чукотском автономном округе разработаны                                      и утверждены Проектным офисом 43 региональных проекта в ГИИС, из них четыре региональных проекта – переходящие с 2024 года в рамках двух НП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«Беспилотные авиационные системы» 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Безопасные качественные дороги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Соглашения о реализации региональных проектов на территории Чукотского автономного округа заключены между отраслевыми министерствами</w:t>
      </w:r>
      <w:r>
        <w:rPr>
          <w:color w:val="000000" w:themeColor="text1"/>
          <w:lang w:val="en-US"/>
        </w:rPr>
        <w:t xml:space="preserve"> </w:t>
      </w:r>
      <w:r>
        <w:rPr>
          <w:color w:val="000000" w:themeColor="text1"/>
        </w:rPr>
        <w:t xml:space="preserve">Р</w:t>
      </w:r>
      <w:r>
        <w:rPr>
          <w:color w:val="000000" w:themeColor="text1"/>
        </w:rPr>
        <w:t xml:space="preserve">Ф и Правительством Чукотского автономного округа </w:t>
      </w:r>
      <w:r>
        <w:rPr>
          <w:color w:val="000000" w:themeColor="text1"/>
        </w:rPr>
        <w:t xml:space="preserve">по </w:t>
      </w:r>
      <w:r>
        <w:rPr>
          <w:color w:val="000000" w:themeColor="text1"/>
        </w:rPr>
        <w:t xml:space="preserve">40</w:t>
      </w:r>
      <w:r>
        <w:rPr>
          <w:color w:val="000000" w:themeColor="text1"/>
        </w:rPr>
        <w:t xml:space="preserve"> региональным проектам, в которые внесены изменения путем заключения </w:t>
      </w:r>
      <w:r>
        <w:rPr>
          <w:color w:val="000000" w:themeColor="text1"/>
        </w:rPr>
        <w:t xml:space="preserve">80</w:t>
      </w:r>
      <w:r>
        <w:rPr>
          <w:color w:val="000000" w:themeColor="text1"/>
        </w:rPr>
        <w:t xml:space="preserve"> дополнительных соглашений.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В рамках реализации 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 региональных проектов между руководителями федерального и регионального проектов заключены 32 соглашения о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предоставлении в 20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5 году субсидий из федерального бюджета, в которые внесены изменения путем заключения </w:t>
      </w:r>
      <w:r>
        <w:rPr>
          <w:color w:val="000000" w:themeColor="text1"/>
        </w:rPr>
        <w:t xml:space="preserve">6</w:t>
      </w:r>
      <w:r>
        <w:rPr>
          <w:color w:val="000000" w:themeColor="text1"/>
        </w:rPr>
        <w:t xml:space="preserve">4 дополнительных соглашений.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региональных проектов в рамках национальных проектов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Чукотском автономном округе предусмотрена на период 2024-2030 годов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объемом финансовых ресурсов в сумме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19 803,1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(таблица № 1).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</w:r>
      <w:r>
        <w:rPr>
          <w:color w:val="000000" w:themeColor="text1"/>
          <w:sz w:val="16"/>
          <w:szCs w:val="16"/>
        </w:rPr>
      </w:r>
      <w:r>
        <w:rPr>
          <w:color w:val="000000" w:themeColor="text1"/>
          <w:sz w:val="16"/>
          <w:szCs w:val="16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 №1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(млн рублей)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/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3401"/>
        <w:gridCol w:w="992"/>
        <w:gridCol w:w="850"/>
        <w:gridCol w:w="992"/>
        <w:gridCol w:w="992"/>
        <w:gridCol w:w="993"/>
        <w:gridCol w:w="709"/>
        <w:gridCol w:w="993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Наименование национального проекта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2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left="-118" w:right="-33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Утверждено Паспортом на 2024-2030 годы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gridSpan w:val="4"/>
            <w:shd w:val="clear" w:color="fff2cc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За 2025 год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gridSpan w:val="2"/>
            <w:shd w:val="clear" w:color="fff2cc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% выполнения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ind w:left="-118" w:right="-156"/>
              <w:spacing w:after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-45" w:right="-125" w:hanging="8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  <w:t xml:space="preserve">Утверждено СБР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  <w:t xml:space="preserve">Поступило из ФБ, Фонда РТ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  <w:t xml:space="preserve">Кассовый расход     (ФБ + ОБ)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  <w:t xml:space="preserve">Фактическое выполнение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111" w:right="-123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  <w:t xml:space="preserve">гр.5/гр.3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ind w:left="-182" w:right="-256" w:hanging="133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  <w:t xml:space="preserve">гр.6/гр5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5"/>
                <w:szCs w:val="15"/>
                <w:lang w:eastAsia="ru-RU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20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Продолжительная и активная жизнь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2 942,9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1 045,7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818,7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1 045,4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033,9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98,9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Технологическое обеспечение продовольственной безопасности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6,1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Инфраструктура для жизни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10 791,0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3 673,8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2 842,1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3 644,7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089,2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99,2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84,8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Кадры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420,7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25,7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78,3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Туризм и гостеприимство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90,9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30,3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30,3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Экономика данных и цифровая трансформация государства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34,9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Экологическое благополучие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Эффективная и конкурентная экономика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26,6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57,4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Молодежь и дети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1 740,0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474,9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443,1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470,6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470,6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99,1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Семья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3 590,0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558,5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337,9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507,4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402,2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90,8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79,3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Международная кооперация и экспорт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Беспилотные авиационные системы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Безопасные качественные дороги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153,9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1" w:type="dxa"/>
            <w:vAlign w:val="bottom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Всего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ind w:left="-118" w:right="-156"/>
              <w:jc w:val="center"/>
              <w:spacing w:before="0" w:beforeAutospacing="0" w:after="0" w:afterAutospacing="0" w:line="240" w:lineRule="auto"/>
              <w:tabs>
                <w:tab w:val="left" w:pos="733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19 803,1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ind w:left="-45" w:right="-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5 819,0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4 504,3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5 734,1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ind w:left="-117" w:right="-19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5 024,0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ind w:left="-111" w:right="-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  <w:t xml:space="preserve">98,5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  <w:t xml:space="preserve">87,6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r>
          </w:p>
        </w:tc>
      </w:tr>
    </w:tbl>
    <w:p>
      <w:pPr>
        <w:pStyle w:val="4482"/>
        <w:spacing w:before="0" w:beforeAutospacing="0" w:after="0" w:afterAutospacing="0" w:line="240" w:lineRule="auto"/>
        <w:rPr>
          <w:color w:val="000000" w:themeColor="text1"/>
          <w:sz w:val="10"/>
          <w:szCs w:val="10"/>
        </w:rPr>
      </w:pPr>
      <w:r>
        <w:rPr>
          <w:color w:val="000000" w:themeColor="text1"/>
          <w:sz w:val="10"/>
          <w:szCs w:val="10"/>
        </w:rPr>
      </w:r>
      <w:r>
        <w:rPr>
          <w:color w:val="000000" w:themeColor="text1"/>
          <w:sz w:val="10"/>
          <w:szCs w:val="10"/>
        </w:rPr>
      </w:r>
      <w:r>
        <w:rPr>
          <w:color w:val="000000" w:themeColor="text1"/>
          <w:sz w:val="10"/>
          <w:szCs w:val="10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Наибольшую долю в общем объеме бюджетных ассигнований планируется направить на региональные проекты в рамках национальных проектов «Инфраструктура для жизни»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54,5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от общего объема финансирования), «Семья»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18,1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%) и «Продолжительная и активная жизнь» 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14,9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Законом об окружном бюджете на 2025 год</w:t>
      </w:r>
      <w:r>
        <w:rPr>
          <w:rStyle w:val="438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2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утверждены бюджетные ассигнования на реализацию мероприятий 24 региональных проектов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объеме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35,3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млн рублей, в том числе: 4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559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– средства федерального бюджета,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375,7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– средства окружного бюджета.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Сводной бюджетной росписью на 2025 год утвержден объем бюджетных ассигнований на реализацию мероприятий 24 региональн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общую сумму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5 81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млн рублей.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2025 год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реализацию региональных проектов поступили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окружной бюджет средства федерального бюджета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Публично-правовой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компании «Фонд развития территорий»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footnoteReference w:id="2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объеме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4 504,3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млн рублей (или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98,8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% от общего объема утвержденных бюджетных назначений).</w:t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январь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декабрь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реализацию 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региональных проектов направлено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5 734,1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млн рублей или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98,5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% от утвержденных бюджетных ассигнований.</w:t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Фактическое исполнение мероприятий региональных проектов </w:t>
      </w:r>
      <w:r>
        <w:rPr>
          <w:color w:val="000000" w:themeColor="text1"/>
        </w:rPr>
        <w:t xml:space="preserve">за 2025 год составило 5 721 697,4 тыс. рублей, в том числе: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сумму 5 023 956,2 тыс. рублей или 87,6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% от направленных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отчетном периоде бюджетных ассигнований – фактически поставлены товарно-материальные ценности, выполнены работы, оказаны услуги;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сумму 697 741,2 тыс. рублей выполнены работы, поставлены товарно-материальные ценности, оказаны услуги за счет бюджетных ассигнований прошлых лет (2021-2024 годов).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</w:rPr>
      </w:pPr>
      <w:r>
        <w:rPr>
          <w:color w:val="000000" w:themeColor="text1"/>
        </w:rPr>
        <w:t xml:space="preserve">Неиспользованные бюджетные ассигнования, предоставленные                                     на реализацию мероприятий РП (осуществлен возврат в окружной бюджет), </w:t>
      </w:r>
      <w:r>
        <w:rPr>
          <w:rFonts w:eastAsia="Times New Roman"/>
          <w:color w:val="000000" w:themeColor="text1"/>
          <w:lang w:eastAsia="ru-RU"/>
        </w:rPr>
        <w:t xml:space="preserve">составили 219 095,6 тыс. рублей, из них 214 842,7 тыс. рублей остатки неиспользованных средств </w:t>
      </w:r>
      <w:r>
        <w:rPr>
          <w:color w:val="000000" w:themeColor="text1"/>
        </w:rPr>
        <w:t xml:space="preserve">субсидий на иные цели, потребность использования которых в 2026 году подтверждена</w:t>
      </w:r>
      <w:r>
        <w:rPr>
          <w:rFonts w:eastAsia="Times New Roman"/>
          <w:color w:val="000000" w:themeColor="text1"/>
          <w:lang w:eastAsia="ru-RU"/>
        </w:rPr>
        <w:t xml:space="preserve">.</w:t>
      </w: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1 января 2026 года дебиторская и кредиторская задолженности составили </w:t>
      </w:r>
      <w:r>
        <w:rPr>
          <w:color w:val="000000" w:themeColor="text1"/>
        </w:rPr>
        <w:t xml:space="preserve">1 905 261,5</w:t>
      </w:r>
      <w:r>
        <w:rPr>
          <w:color w:val="000000" w:themeColor="text1"/>
        </w:rPr>
        <w:t xml:space="preserve"> тыс. рублей и 103,4 тыс. рублей, соответственно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(рис.1).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6"/>
          <w:szCs w:val="6"/>
        </w:rPr>
      </w:pP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</w:p>
    <w:p>
      <w:pPr>
        <w:pStyle w:val="4482"/>
        <w:jc w:val="right"/>
        <w:spacing w:before="0" w:beforeAutospacing="0" w:after="0" w:afterAutospacing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  <w:sz w:val="24"/>
          <w:szCs w:val="24"/>
        </w:rPr>
        <w:t xml:space="preserve">(млн рублей)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4482"/>
        <w:ind w:firstLine="0"/>
        <w:jc w:val="right"/>
        <w:spacing w:before="0" w:beforeAutospacing="0" w:after="0" w:afterAutospacing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</w:rPr>
        <w:drawing>
          <wp:inline distT="0" distB="0" distL="0" distR="0">
            <wp:extent cx="5981700" cy="1392071"/>
            <wp:effectExtent l="0" t="0" r="0" b="17780"/>
            <wp:docPr id="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right="57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ind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right="57" w:firstLine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Информация о ходе реализации региональных проектов в разрезе национальных проектов за 2025 год приведена в таблице №2.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Таблица №2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(млн рублей)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3512"/>
        <w:gridCol w:w="849"/>
        <w:gridCol w:w="706"/>
        <w:gridCol w:w="459"/>
        <w:gridCol w:w="845"/>
        <w:gridCol w:w="769"/>
        <w:gridCol w:w="526"/>
        <w:gridCol w:w="755"/>
        <w:gridCol w:w="1500"/>
      </w:tblGrid>
      <w:tr>
        <w:tblPrEx/>
        <w:trPr>
          <w:trHeight w:val="45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Наименование национального проекта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ГИИС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Электронный бюджет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Форма 0503117-НП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Фактическое выполнение за счет бюджетных ассигнований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</w:tr>
      <w:tr>
        <w:tblPrEx/>
        <w:trPr>
          <w:trHeight w:val="39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Утверждено Паспортом РП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vMerge w:val="restart"/>
            <w:textDirection w:val="lrTb"/>
            <w:noWrap w:val="false"/>
          </w:tcPr>
          <w:p>
            <w:pPr>
              <w:ind w:left="-247" w:right="-24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Исполнено (кассовый расход)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vMerge w:val="restart"/>
            <w:textDirection w:val="lrTb"/>
            <w:noWrap w:val="false"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restart"/>
            <w:textDirection w:val="lrTb"/>
            <w:noWrap w:val="false"/>
          </w:tcPr>
          <w:p>
            <w:pPr>
              <w:ind w:left="-151" w:right="-79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Утверждено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vMerge w:val="restart"/>
            <w:textDirection w:val="lrTb"/>
            <w:noWrap w:val="false"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vMerge w:val="restart"/>
            <w:textDirection w:val="lrTb"/>
            <w:noWrap w:val="false"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vMerge w:val="restart"/>
            <w:textDirection w:val="lrTb"/>
            <w:noWrap w:val="false"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Всего за 2025 год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 w:val="false"/>
          </w:tcPr>
          <w:p>
            <w:pPr>
              <w:ind w:left="-99" w:right="-11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в том числе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 за счет средств: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</w:tr>
      <w:tr>
        <w:tblPrEx/>
        <w:trPr>
          <w:trHeight w:val="5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continue"/>
            <w:textDirection w:val="lrTb"/>
            <w:noWrap w:val="false"/>
          </w:tcPr>
          <w:p>
            <w:pPr>
              <w:ind w:left="-101" w:right="-111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vMerge w:val="continue"/>
            <w:textDirection w:val="lrTb"/>
            <w:noWrap w:val="false"/>
          </w:tcPr>
          <w:p>
            <w:pPr>
              <w:ind w:left="-247" w:right="-207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vMerge w:val="continue"/>
            <w:textDirection w:val="lrTb"/>
            <w:noWrap w:val="false"/>
          </w:tcPr>
          <w:p>
            <w:pPr>
              <w:ind w:left="-117" w:right="-9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vMerge w:val="continue"/>
            <w:textDirection w:val="lrTb"/>
            <w:noWrap w:val="false"/>
          </w:tcPr>
          <w:p>
            <w:pPr>
              <w:ind w:left="-151" w:right="-221" w:hanging="24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vMerge w:val="continue"/>
            <w:textDirection w:val="lrTb"/>
            <w:noWrap w:val="false"/>
          </w:tcPr>
          <w:p>
            <w:pPr>
              <w:ind w:left="-108" w:right="-84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vMerge w:val="continue"/>
            <w:textDirection w:val="lrTb"/>
            <w:noWrap w:val="false"/>
          </w:tcPr>
          <w:p>
            <w:pPr>
              <w:ind w:left="-50" w:right="-4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vMerge w:val="continue"/>
            <w:textDirection w:val="lrTb"/>
            <w:noWrap w:val="false"/>
          </w:tcPr>
          <w:p>
            <w:pPr>
              <w:ind w:left="-61" w:right="-106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 w:val="false"/>
          </w:tcPr>
          <w:p>
            <w:pPr>
              <w:ind w:left="-99" w:right="-11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2021-2024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г.г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</w:tr>
      <w:tr>
        <w:tblPrEx/>
        <w:trPr>
          <w:trHeight w:val="195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/>
          </w:tcPr>
          <w:p>
            <w:pPr>
              <w:ind w:right="-10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ind w:left="-99" w:right="-11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Продолжительная и активная жизнь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1 045,4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1 045,2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1 045,7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1 045,4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1 036,0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ind w:left="-99" w:right="-11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Технологическое обеспечение продовольственной безопасности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52,7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ind w:left="-99" w:right="-11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Инфраструктура для жизни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3 642,3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3 638,1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3 673,8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3 644,7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99,2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3 613,1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523,9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Кадры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30,8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9,6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Туризм и гостеприимство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30,3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 w:val="false"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30,3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30,3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 w:val="false"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30,3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Экономика данных и цифровая трансформация государства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Экологическое благополучие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Эффективная и конкурентная экономика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21,0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18,5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Молодежь и дети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462,8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456,9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474,9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470,6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99,1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512,2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41,6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Семья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558,5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507,4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90,8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558,5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507,4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90,8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503,4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101,2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Международная кооперация и экспорт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Беспилотные авиационные системы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0,9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center"/>
            <w:textDirection w:val="lrTb"/>
            <w:noWrap w:val="false"/>
          </w:tcPr>
          <w:p>
            <w:pPr>
              <w:ind w:right="-104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Безопасные качественные дороги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2" w:type="dxa"/>
            <w:vAlign w:val="bottom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Всего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ind w:left="-101"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5 776,9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textDirection w:val="lrTb"/>
            <w:noWrap/>
          </w:tcPr>
          <w:p>
            <w:pPr>
              <w:ind w:left="-247" w:right="-2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5 713,6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vAlign w:val="center"/>
            <w:textDirection w:val="lrTb"/>
            <w:noWrap/>
          </w:tcPr>
          <w:p>
            <w:pPr>
              <w:ind w:left="-117" w:right="-9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98,9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/>
          </w:tcPr>
          <w:p>
            <w:pPr>
              <w:ind w:left="-151" w:right="-221" w:hanging="2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5 819,0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Align w:val="center"/>
            <w:textDirection w:val="lrTb"/>
            <w:noWrap/>
          </w:tcPr>
          <w:p>
            <w:pPr>
              <w:ind w:left="-108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5 734,1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Align w:val="center"/>
            <w:textDirection w:val="lrTb"/>
            <w:noWrap/>
          </w:tcPr>
          <w:p>
            <w:pPr>
              <w:ind w:left="-50" w:right="-4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98,5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/>
          </w:tcPr>
          <w:p>
            <w:pPr>
              <w:ind w:left="-61"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5 721,7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00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697,7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r>
          </w:p>
        </w:tc>
      </w:tr>
    </w:tbl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Исполнение отдельных региональных проектов </w:t>
      </w: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</w:rPr>
        <w:t xml:space="preserve">в рамках национальных проектов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Чукотского автономного округа за 2025 год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ind w:right="57" w:firstLine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2.1.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В рамках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НП «Продолжительная и активная жизнь»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Чукотского автономного округа реализуются девять региональных проектов, мероприятия которых интегрированы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государственную программу «Развитие здравоохранения Чукотского автономного округа». По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«Борьба с онкологическими заболеваниями»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«Медицинские кадры»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финансовое обеспечение не предусмотрено.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реализацию региональных проектов </w:t>
      </w:r>
      <w:r>
        <w:rPr>
          <w:b/>
          <w:i/>
          <w:color w:val="000000" w:themeColor="text1"/>
        </w:rPr>
        <w:t xml:space="preserve">НП «Продолжительная                                 и активная жизнь»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</w:t>
      </w:r>
      <w:r>
        <w:rPr>
          <w:color w:val="000000" w:themeColor="text1"/>
        </w:rPr>
        <w:t xml:space="preserve">2025 год</w:t>
      </w:r>
      <w:r>
        <w:rPr>
          <w:color w:val="000000" w:themeColor="text1"/>
        </w:rPr>
        <w:t xml:space="preserve">у</w:t>
      </w:r>
      <w:r>
        <w:rPr>
          <w:color w:val="000000" w:themeColor="text1"/>
        </w:rPr>
        <w:t xml:space="preserve"> из окружного бюджета направлено 1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045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357,5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тыс. рублей (из них 818 727,8 тыс. рублей – средства федерального бюджета) или 100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%</w:t>
      </w:r>
      <w:r>
        <w:rPr>
          <w:color w:val="000000" w:themeColor="text1"/>
        </w:rPr>
        <w:t xml:space="preserve"> от утвержденных сводной бюджетной росписью ассигнований. Ф</w:t>
      </w:r>
      <w:r>
        <w:rPr>
          <w:rFonts w:eastAsia="Times New Roman"/>
          <w:color w:val="000000" w:themeColor="text1"/>
          <w:lang w:eastAsia="ru-RU"/>
        </w:rPr>
        <w:t xml:space="preserve">актическое выполнение мероприятий региональных проектов составило </w:t>
      </w:r>
      <w:r>
        <w:rPr>
          <w:rFonts w:eastAsia="Times New Roman"/>
          <w:color w:val="000000" w:themeColor="text1"/>
          <w:lang w:eastAsia="ru-RU"/>
        </w:rPr>
        <w:t xml:space="preserve">1 035 986,0</w:t>
      </w:r>
      <w:r>
        <w:rPr>
          <w:rFonts w:eastAsia="Times New Roman"/>
          <w:color w:val="000000" w:themeColor="text1"/>
          <w:lang w:eastAsia="ru-RU"/>
        </w:rPr>
        <w:t xml:space="preserve"> тыс. рублей, </w:t>
      </w:r>
      <w:r>
        <w:rPr>
          <w:color w:val="000000" w:themeColor="text1"/>
        </w:rPr>
        <w:t xml:space="preserve">из них </w:t>
      </w:r>
      <w:r>
        <w:rPr>
          <w:color w:val="000000" w:themeColor="text1"/>
        </w:rPr>
        <w:t xml:space="preserve">2 111,1</w:t>
      </w:r>
      <w:r>
        <w:rPr>
          <w:color w:val="000000" w:themeColor="text1"/>
        </w:rPr>
        <w:t xml:space="preserve"> тыс. рублей за счет </w:t>
      </w:r>
      <w:r>
        <w:rPr>
          <w:color w:val="000000" w:themeColor="text1"/>
        </w:rPr>
        <w:t xml:space="preserve">о</w:t>
      </w:r>
      <w:r>
        <w:rPr>
          <w:color w:val="000000" w:themeColor="text1"/>
        </w:rPr>
        <w:t xml:space="preserve">статк</w:t>
      </w:r>
      <w:r>
        <w:rPr>
          <w:color w:val="000000" w:themeColor="text1"/>
        </w:rPr>
        <w:t xml:space="preserve">ов</w:t>
      </w:r>
      <w:r>
        <w:rPr>
          <w:color w:val="000000" w:themeColor="text1"/>
        </w:rPr>
        <w:t xml:space="preserve"> средств субсидий на иные цели, разрешенные к использованию в 2025 году</w:t>
      </w:r>
      <w:r>
        <w:rPr>
          <w:color w:val="000000" w:themeColor="text1"/>
        </w:rPr>
        <w:t xml:space="preserve">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</w:rPr>
        <w:t xml:space="preserve"> «Здравоохранение»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</w:rPr>
      </w:pPr>
      <w:r>
        <w:rPr>
          <w:color w:val="000000" w:themeColor="text1"/>
        </w:rPr>
        <w:t xml:space="preserve">Неиспользованные бюджетные ассигнования, предоставленные                                     на реализацию мероприятий РП (осуществлен возврат в окружной бюджет), </w:t>
      </w:r>
      <w:r>
        <w:rPr>
          <w:rFonts w:eastAsia="Times New Roman"/>
          <w:color w:val="000000" w:themeColor="text1"/>
          <w:lang w:eastAsia="ru-RU"/>
        </w:rPr>
        <w:t xml:space="preserve">составили 11</w:t>
      </w:r>
      <w:r>
        <w:rPr>
          <w:rFonts w:eastAsia="Times New Roman"/>
          <w:color w:val="000000" w:themeColor="text1"/>
          <w:lang w:eastAsia="ru-RU"/>
        </w:rPr>
        <w:t xml:space="preserve"> 501,8</w:t>
      </w:r>
      <w:r>
        <w:rPr>
          <w:rFonts w:eastAsia="Times New Roman"/>
          <w:color w:val="000000" w:themeColor="text1"/>
          <w:lang w:eastAsia="ru-RU"/>
        </w:rPr>
        <w:t xml:space="preserve"> тыс. рублей, из них 11 209,6 тыс. рублей остатки неиспользованных средств </w:t>
      </w:r>
      <w:r>
        <w:rPr>
          <w:color w:val="000000" w:themeColor="text1"/>
        </w:rPr>
        <w:t xml:space="preserve">субсидий на иные цели, потребность использования которых в 2026 году подтверждена</w:t>
      </w:r>
      <w:r>
        <w:rPr>
          <w:rFonts w:eastAsia="Times New Roman"/>
          <w:color w:val="000000" w:themeColor="text1"/>
          <w:lang w:eastAsia="ru-RU"/>
        </w:rPr>
        <w:t xml:space="preserve">.</w:t>
      </w: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rFonts w:eastAsia="Times New Roman"/>
          <w:color w:val="000000" w:themeColor="text1"/>
          <w:lang w:eastAsia="ru-RU"/>
        </w:rPr>
        <w:t xml:space="preserve">Кредиторская задолженность по состоянию на </w:t>
      </w:r>
      <w:r>
        <w:rPr>
          <w:color w:val="000000" w:themeColor="text1"/>
        </w:rPr>
        <w:t xml:space="preserve">1 января 2026 года </w:t>
      </w:r>
      <w:r>
        <w:rPr>
          <w:rFonts w:eastAsia="Times New Roman"/>
          <w:color w:val="000000" w:themeColor="text1"/>
          <w:lang w:eastAsia="ru-RU"/>
        </w:rPr>
        <w:t xml:space="preserve">составила 103,4 тыс. рублей</w:t>
      </w:r>
      <w:r>
        <w:rPr>
          <w:rFonts w:eastAsia="Times New Roman"/>
          <w:color w:val="000000" w:themeColor="text1"/>
          <w:lang w:eastAsia="ru-RU"/>
        </w:rPr>
        <w:t xml:space="preserve">, числящаяся </w:t>
      </w:r>
      <w:r>
        <w:rPr>
          <w:color w:val="000000" w:themeColor="text1"/>
        </w:rPr>
        <w:t xml:space="preserve">в 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</w:rPr>
        <w:t xml:space="preserve"> «Здравоохранение»</w:t>
      </w:r>
      <w:r>
        <w:rPr>
          <w:color w:val="000000" w:themeColor="text1"/>
        </w:rPr>
        <w:t xml:space="preserve"> (рис. 2).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4"/>
          <w:szCs w:val="4"/>
        </w:rPr>
      </w:pPr>
      <w:r>
        <w:rPr>
          <w:color w:val="000000" w:themeColor="text1"/>
          <w:sz w:val="4"/>
          <w:szCs w:val="4"/>
        </w:rPr>
      </w:r>
      <w:r>
        <w:rPr>
          <w:color w:val="000000" w:themeColor="text1"/>
          <w:sz w:val="4"/>
          <w:szCs w:val="4"/>
        </w:rPr>
      </w:r>
      <w:r>
        <w:rPr>
          <w:color w:val="000000" w:themeColor="text1"/>
          <w:sz w:val="4"/>
          <w:szCs w:val="4"/>
        </w:rPr>
      </w:r>
    </w:p>
    <w:p>
      <w:pPr>
        <w:pStyle w:val="4482"/>
        <w:ind w:firstLine="0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drawing>
          <wp:inline distT="0" distB="0" distL="0" distR="0">
            <wp:extent cx="5930900" cy="1282700"/>
            <wp:effectExtent l="0" t="0" r="12700" b="12700"/>
            <wp:docPr id="3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6"/>
          <w:szCs w:val="6"/>
        </w:rPr>
      </w:pPr>
      <w:r>
        <w:rPr>
          <w:rFonts w:ascii="Times New Roman" w:hAnsi="Times New Roman" w:cs="Times New Roman"/>
          <w:color w:val="000000" w:themeColor="text1"/>
          <w:sz w:val="6"/>
          <w:szCs w:val="6"/>
        </w:rPr>
      </w:r>
      <w:r>
        <w:rPr>
          <w:rFonts w:ascii="Times New Roman" w:hAnsi="Times New Roman" w:cs="Times New Roman"/>
          <w:color w:val="000000" w:themeColor="text1"/>
          <w:sz w:val="6"/>
          <w:szCs w:val="6"/>
        </w:rPr>
      </w:r>
      <w:r>
        <w:rPr>
          <w:rFonts w:ascii="Times New Roman" w:hAnsi="Times New Roman" w:cs="Times New Roman"/>
          <w:color w:val="000000" w:themeColor="text1"/>
          <w:sz w:val="6"/>
          <w:szCs w:val="6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Рис.2 (тыс. рублей)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По данным отчетов о ходе реализации региональных проектов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за 2025 год</w:t>
      </w:r>
      <w:r>
        <w:rPr>
          <w:color w:val="000000" w:themeColor="text1"/>
          <w:lang w:eastAsia="ru-RU"/>
        </w:rPr>
        <w:t xml:space="preserve">, установленные паспортами региональных проектов: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33</w:t>
      </w:r>
      <w:r>
        <w:rPr>
          <w:color w:val="000000" w:themeColor="text1"/>
          <w:lang w:eastAsia="ru-RU"/>
        </w:rPr>
        <w:t xml:space="preserve"> из </w:t>
      </w:r>
      <w:r>
        <w:rPr>
          <w:color w:val="000000" w:themeColor="text1"/>
          <w:lang w:eastAsia="ru-RU"/>
        </w:rPr>
        <w:t xml:space="preserve">34</w:t>
      </w:r>
      <w:r>
        <w:rPr>
          <w:color w:val="000000" w:themeColor="text1"/>
          <w:lang w:eastAsia="ru-RU"/>
        </w:rPr>
        <w:t xml:space="preserve"> показателей достигнуты. Н</w:t>
      </w:r>
      <w:r>
        <w:rPr>
          <w:rFonts w:eastAsia="Times New Roman"/>
          <w:color w:val="000000" w:themeColor="text1"/>
          <w:lang w:eastAsia="ru-RU"/>
        </w:rPr>
        <w:t xml:space="preserve">е достигнут</w:t>
      </w:r>
      <w:r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в полной мере </w:t>
      </w:r>
      <w:r>
        <w:rPr>
          <w:rFonts w:eastAsia="Times New Roman"/>
          <w:color w:val="000000" w:themeColor="text1"/>
          <w:lang w:eastAsia="ru-RU"/>
        </w:rPr>
        <w:t xml:space="preserve">по </w:t>
      </w:r>
      <w:r>
        <w:rPr>
          <w:color w:val="000000" w:themeColor="text1"/>
          <w:lang w:eastAsia="ru-RU"/>
        </w:rPr>
        <w:t xml:space="preserve">РП «Здоровье для каждого» (5 из 6)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</w:rPr>
        <w:t xml:space="preserve">показатель «Потребление алкогольной продукции на душу населения (в литрах этанола)», достижение показателя </w:t>
      </w:r>
      <w:r>
        <w:rPr>
          <w:color w:val="000000" w:themeColor="text1"/>
          <w:szCs w:val="32"/>
        </w:rPr>
        <w:t xml:space="preserve">составило на уровне 83,7 %, поскольку </w:t>
      </w:r>
      <w:r>
        <w:rPr>
          <w:color w:val="000000" w:themeColor="text1"/>
          <w:spacing w:val="-2"/>
        </w:rPr>
        <w:t xml:space="preserve">достижение данного показателя напрямую зависит от ограничительных мер по продажам алкогольной продукции в регионе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36</w:t>
      </w:r>
      <w:r>
        <w:rPr>
          <w:color w:val="000000" w:themeColor="text1"/>
          <w:lang w:eastAsia="ru-RU"/>
        </w:rPr>
        <w:t xml:space="preserve"> из </w:t>
      </w:r>
      <w:r>
        <w:rPr>
          <w:color w:val="000000" w:themeColor="text1"/>
          <w:lang w:eastAsia="ru-RU"/>
        </w:rPr>
        <w:t xml:space="preserve">37</w:t>
      </w:r>
      <w:r>
        <w:rPr>
          <w:color w:val="000000" w:themeColor="text1"/>
          <w:lang w:eastAsia="ru-RU"/>
        </w:rPr>
        <w:t xml:space="preserve"> результатов достигнуты. Н</w:t>
      </w:r>
      <w:r>
        <w:rPr>
          <w:rFonts w:eastAsia="Times New Roman"/>
          <w:color w:val="000000" w:themeColor="text1"/>
          <w:lang w:eastAsia="ru-RU"/>
        </w:rPr>
        <w:t xml:space="preserve">е достигнуты в полном объеме </w:t>
      </w:r>
      <w:r>
        <w:rPr>
          <w:rFonts w:eastAsia="Times New Roman"/>
          <w:color w:val="000000" w:themeColor="text1"/>
          <w:lang w:eastAsia="ru-RU"/>
        </w:rPr>
        <w:t xml:space="preserve">по РП «</w:t>
      </w:r>
      <w:r>
        <w:rPr>
          <w:rFonts w:eastAsia="Times New Roman"/>
          <w:color w:val="000000" w:themeColor="text1"/>
          <w:lang w:eastAsia="ru-RU"/>
        </w:rPr>
        <w:t xml:space="preserve">Борьба с гепатитом С и минимизация рисков распространения данного заболевания</w:t>
      </w:r>
      <w:r>
        <w:rPr>
          <w:rFonts w:eastAsia="Times New Roman"/>
          <w:color w:val="000000" w:themeColor="text1"/>
          <w:lang w:eastAsia="ru-RU"/>
        </w:rPr>
        <w:t xml:space="preserve">» </w:t>
      </w:r>
      <w:r>
        <w:rPr>
          <w:color w:val="000000" w:themeColor="text1"/>
          <w:lang w:eastAsia="ru-RU"/>
        </w:rPr>
        <w:t xml:space="preserve">(</w:t>
      </w:r>
      <w:r>
        <w:rPr>
          <w:color w:val="000000" w:themeColor="text1"/>
          <w:lang w:eastAsia="ru-RU"/>
        </w:rPr>
        <w:t xml:space="preserve">6</w:t>
      </w:r>
      <w:r>
        <w:rPr>
          <w:color w:val="000000" w:themeColor="text1"/>
          <w:lang w:eastAsia="ru-RU"/>
        </w:rPr>
        <w:t xml:space="preserve"> из 7);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все </w:t>
      </w:r>
      <w:r>
        <w:rPr>
          <w:color w:val="000000" w:themeColor="text1"/>
          <w:lang w:eastAsia="ru-RU"/>
        </w:rPr>
        <w:t xml:space="preserve">220</w:t>
      </w:r>
      <w:r>
        <w:rPr>
          <w:color w:val="000000" w:themeColor="text1"/>
          <w:lang w:eastAsia="ru-RU"/>
        </w:rPr>
        <w:t xml:space="preserve"> контрольных точек достигнуты.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Анализ хода реализации региональных проектов</w:t>
      </w:r>
      <w:r>
        <w:rPr>
          <w:rStyle w:val="4381"/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footnoteReference w:id="29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в рамках 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НП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  <w:lang w:val="en-US" w:eastAsia="ru-RU"/>
        </w:rPr>
        <w:t xml:space="preserve"> 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Продолжительная и активная жизнь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показал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6"/>
          <w:szCs w:val="6"/>
          <w:lang w:eastAsia="ru-RU"/>
        </w:rPr>
      </w:pPr>
      <w:r>
        <w:rPr>
          <w:color w:val="000000" w:themeColor="text1"/>
          <w:sz w:val="6"/>
          <w:szCs w:val="6"/>
          <w:lang w:eastAsia="ru-RU"/>
        </w:rPr>
      </w:r>
      <w:r>
        <w:rPr>
          <w:color w:val="000000" w:themeColor="text1"/>
          <w:sz w:val="6"/>
          <w:szCs w:val="6"/>
          <w:lang w:eastAsia="ru-RU"/>
        </w:rPr>
      </w:r>
      <w:r>
        <w:rPr>
          <w:color w:val="000000" w:themeColor="text1"/>
          <w:sz w:val="6"/>
          <w:szCs w:val="6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1) На реализацию мероприятий </w:t>
      </w:r>
      <w:r>
        <w:rPr>
          <w:b/>
          <w:color w:val="000000" w:themeColor="text1"/>
          <w:lang w:eastAsia="ru-RU"/>
        </w:rPr>
        <w:t xml:space="preserve">РП «Модернизация первичного звена здравоохранения Российской Федерации»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 </w:t>
      </w:r>
      <w:r>
        <w:rPr>
          <w:color w:val="000000" w:themeColor="text1"/>
          <w:lang w:eastAsia="ru-RU"/>
        </w:rPr>
        <w:t xml:space="preserve">направлено </w:t>
      </w:r>
      <w:r>
        <w:rPr>
          <w:color w:val="000000" w:themeColor="text1"/>
          <w:lang w:eastAsia="ru-RU"/>
        </w:rPr>
        <w:t xml:space="preserve">147 005,8 тыс. рублей (из них 137 029,0 тыс. рублей средства федерального бюджета) </w:t>
      </w:r>
      <w:r>
        <w:rPr>
          <w:color w:val="000000" w:themeColor="text1"/>
        </w:rPr>
        <w:t xml:space="preserve">или 100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% от утвержденных СБР ассигнований, в том числе: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20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420,7 </w:t>
      </w:r>
      <w:r>
        <w:rPr>
          <w:color w:val="000000" w:themeColor="text1"/>
          <w:lang w:eastAsia="ru-RU"/>
        </w:rPr>
        <w:t xml:space="preserve">тыс. рублей на </w:t>
      </w:r>
      <w:r>
        <w:rPr>
          <w:iCs/>
          <w:color w:val="000000" w:themeColor="text1"/>
        </w:rPr>
        <w:t xml:space="preserve">капитальный ремонт участковой больницы                           в с.</w:t>
      </w:r>
      <w:r>
        <w:rPr>
          <w:iCs/>
          <w:color w:val="000000" w:themeColor="text1"/>
          <w:lang w:val="en-US"/>
        </w:rPr>
        <w:t xml:space="preserve"> </w:t>
      </w:r>
      <w:r>
        <w:rPr>
          <w:iCs/>
          <w:color w:val="000000" w:themeColor="text1"/>
        </w:rPr>
        <w:t xml:space="preserve">Ваеги</w:t>
      </w:r>
      <w:r>
        <w:rPr>
          <w:iCs/>
          <w:color w:val="000000" w:themeColor="text1"/>
        </w:rPr>
        <w:t xml:space="preserve"> Анадырского муниципального района;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i/>
          <w:iCs/>
          <w:color w:val="000000" w:themeColor="text1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val="en-US" w:eastAsia="ru-RU"/>
        </w:rPr>
        <w:t xml:space="preserve"> </w:t>
      </w:r>
      <w:r>
        <w:rPr>
          <w:color w:val="000000" w:themeColor="text1"/>
          <w:lang w:eastAsia="ru-RU"/>
        </w:rPr>
        <w:t xml:space="preserve">13</w:t>
      </w:r>
      <w:r>
        <w:rPr>
          <w:color w:val="000000" w:themeColor="text1"/>
          <w:lang w:val="en-US" w:eastAsia="ru-RU"/>
        </w:rPr>
        <w:t xml:space="preserve"> </w:t>
      </w:r>
      <w:r>
        <w:rPr>
          <w:color w:val="000000" w:themeColor="text1"/>
          <w:lang w:eastAsia="ru-RU"/>
        </w:rPr>
        <w:t xml:space="preserve">125,0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тыс. рублей на к</w:t>
      </w:r>
      <w:r>
        <w:rPr>
          <w:iCs/>
          <w:color w:val="000000" w:themeColor="text1"/>
        </w:rPr>
        <w:t xml:space="preserve">апитальный ремонт участковой больницы                           в </w:t>
      </w:r>
      <w:r>
        <w:rPr>
          <w:iCs/>
          <w:color w:val="000000" w:themeColor="text1"/>
        </w:rPr>
        <w:t xml:space="preserve">с.Амгуэма</w:t>
      </w:r>
      <w:r>
        <w:rPr>
          <w:iCs/>
          <w:color w:val="000000" w:themeColor="text1"/>
        </w:rPr>
        <w:t xml:space="preserve"> муниципального округа </w:t>
      </w:r>
      <w:r>
        <w:rPr>
          <w:iCs/>
          <w:color w:val="000000" w:themeColor="text1"/>
        </w:rPr>
        <w:t xml:space="preserve">Эгвекинот</w:t>
      </w:r>
      <w:r>
        <w:rPr>
          <w:iCs/>
          <w:color w:val="000000" w:themeColor="text1"/>
        </w:rPr>
        <w:t xml:space="preserve">;</w:t>
      </w:r>
      <w:r>
        <w:rPr>
          <w:i/>
          <w:iCs/>
          <w:color w:val="000000" w:themeColor="text1"/>
        </w:rPr>
        <w:t xml:space="preserve"> </w:t>
      </w:r>
      <w:r>
        <w:rPr>
          <w:i/>
          <w:iCs/>
          <w:color w:val="000000" w:themeColor="text1"/>
        </w:rPr>
      </w:r>
      <w:r>
        <w:rPr>
          <w:i/>
          <w:iCs/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13 000,0 тыс. рублей на поставку пяти автомобилей </w:t>
      </w:r>
      <w:r>
        <w:rPr>
          <w:color w:val="000000" w:themeColor="text1"/>
          <w:lang w:eastAsia="ru-RU"/>
        </w:rPr>
        <w:t xml:space="preserve">для доставки пациентов в медицинские организации, медицинских работников до места жительства пациентов, а также для перевозки биологических материалов для исследований, доставки лекарственных препаратов до жителей отдаленных районов;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100 460,0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тыс. рублей на п</w:t>
      </w:r>
      <w:r>
        <w:rPr>
          <w:bCs/>
          <w:iCs/>
          <w:color w:val="000000" w:themeColor="text1"/>
        </w:rPr>
        <w:t xml:space="preserve">р</w:t>
      </w:r>
      <w:r>
        <w:rPr>
          <w:bCs/>
          <w:iCs/>
          <w:color w:val="000000" w:themeColor="text1"/>
        </w:rPr>
        <w:t xml:space="preserve">иобретение оборудования в медицинские организации, оказывающие первичную медико-санитарную помощь, а также                     в медицинские организации, расположенные в сельской местности, поселках городского типа и малых городах с численностью населения </w:t>
      </w:r>
      <w:r>
        <w:rPr>
          <w:bCs/>
          <w:iCs/>
          <w:color w:val="000000" w:themeColor="text1"/>
        </w:rPr>
        <w:br/>
      </w:r>
      <w:r>
        <w:rPr>
          <w:bCs/>
          <w:iCs/>
          <w:color w:val="000000" w:themeColor="text1"/>
        </w:rPr>
        <w:t xml:space="preserve">до 100 тыс. человек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</w:t>
      </w:r>
      <w:r>
        <w:rPr>
          <w:bCs/>
          <w:iCs/>
          <w:color w:val="000000" w:themeColor="text1"/>
        </w:rPr>
        <w:t xml:space="preserve">выполнение составило 100</w:t>
      </w:r>
      <w:r>
        <w:rPr>
          <w:bCs/>
          <w:iCs/>
          <w:color w:val="000000" w:themeColor="text1"/>
        </w:rPr>
        <w:t xml:space="preserve"> </w:t>
      </w:r>
      <w:r>
        <w:rPr>
          <w:color w:val="000000" w:themeColor="text1"/>
        </w:rPr>
        <w:t xml:space="preserve">% от направленного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6"/>
          <w:szCs w:val="6"/>
          <w:lang w:eastAsia="ru-RU"/>
        </w:rPr>
      </w:pPr>
      <w:r>
        <w:rPr>
          <w:color w:val="000000" w:themeColor="text1"/>
          <w:sz w:val="6"/>
          <w:szCs w:val="6"/>
          <w:lang w:eastAsia="ru-RU"/>
        </w:rPr>
      </w:r>
      <w:r>
        <w:rPr>
          <w:color w:val="000000" w:themeColor="text1"/>
          <w:sz w:val="6"/>
          <w:szCs w:val="6"/>
          <w:lang w:eastAsia="ru-RU"/>
        </w:rPr>
      </w:r>
      <w:r>
        <w:rPr>
          <w:color w:val="000000" w:themeColor="text1"/>
          <w:sz w:val="6"/>
          <w:szCs w:val="6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2) </w:t>
      </w:r>
      <w:r>
        <w:rPr>
          <w:color w:val="000000" w:themeColor="text1"/>
        </w:rPr>
        <w:t xml:space="preserve">В ходе реализации </w:t>
      </w:r>
      <w:r>
        <w:rPr>
          <w:b/>
          <w:color w:val="000000" w:themeColor="text1"/>
        </w:rPr>
        <w:t xml:space="preserve">РП «Борьба с сердечно-сосудистыми заболеваниями»</w:t>
      </w:r>
      <w:r>
        <w:rPr>
          <w:color w:val="000000" w:themeColor="text1"/>
        </w:rPr>
        <w:t xml:space="preserve"> на 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наблюдении, направлено </w:t>
      </w:r>
      <w:r>
        <w:rPr>
          <w:color w:val="000000" w:themeColor="text1"/>
        </w:rPr>
        <w:br/>
      </w:r>
      <w:r>
        <w:rPr>
          <w:color w:val="000000" w:themeColor="text1"/>
        </w:rPr>
        <w:t xml:space="preserve">2 911,0 тыс. рублей (из них 2 881,8 тыс. рублей средства федерального бюджета) или 96</w:t>
      </w:r>
      <w:r>
        <w:rPr>
          <w:color w:val="000000" w:themeColor="text1"/>
          <w:lang w:eastAsia="ru-RU"/>
        </w:rPr>
        <w:t xml:space="preserve">,6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%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от утвержденных СБР ассигнований, </w:t>
      </w:r>
      <w:r>
        <w:rPr>
          <w:rFonts w:eastAsia="Times New Roman"/>
          <w:color w:val="000000" w:themeColor="text1"/>
        </w:rPr>
        <w:t xml:space="preserve">на поставку лекарственных препаратов для пациентов высокого риска, находящихся на</w:t>
      </w:r>
      <w:r>
        <w:rPr>
          <w:rFonts w:eastAsia="Times New Roman"/>
          <w:color w:val="000000" w:themeColor="text1"/>
        </w:rPr>
        <w:t xml:space="preserve"> </w:t>
      </w:r>
      <w:r>
        <w:rPr>
          <w:rFonts w:eastAsia="Times New Roman"/>
          <w:color w:val="000000" w:themeColor="text1"/>
        </w:rPr>
        <w:t xml:space="preserve">диспансерном наблюдении</w:t>
      </w:r>
      <w:r>
        <w:rPr>
          <w:color w:val="000000" w:themeColor="text1"/>
          <w:lang w:eastAsia="ru-RU"/>
        </w:rPr>
        <w:t xml:space="preserve">. Фактическое </w:t>
      </w:r>
      <w:r>
        <w:rPr>
          <w:bCs/>
          <w:iCs/>
          <w:color w:val="000000" w:themeColor="text1"/>
        </w:rPr>
        <w:t xml:space="preserve">выполнение составило </w:t>
      </w:r>
      <w:r>
        <w:rPr>
          <w:bCs/>
          <w:iCs/>
          <w:color w:val="000000" w:themeColor="text1"/>
        </w:rPr>
        <w:br/>
      </w:r>
      <w:r>
        <w:rPr>
          <w:bCs/>
          <w:iCs/>
          <w:color w:val="000000" w:themeColor="text1"/>
        </w:rPr>
        <w:t xml:space="preserve">100</w:t>
      </w:r>
      <w:r>
        <w:rPr>
          <w:bCs/>
          <w:iCs/>
          <w:color w:val="000000" w:themeColor="text1"/>
        </w:rPr>
        <w:t xml:space="preserve"> </w:t>
      </w:r>
      <w:r>
        <w:rPr>
          <w:color w:val="000000" w:themeColor="text1"/>
        </w:rPr>
        <w:t xml:space="preserve">% от направленного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6"/>
          <w:szCs w:val="6"/>
          <w:lang w:eastAsia="ru-RU"/>
        </w:rPr>
      </w:pPr>
      <w:r>
        <w:rPr>
          <w:color w:val="000000" w:themeColor="text1"/>
          <w:sz w:val="6"/>
          <w:szCs w:val="6"/>
          <w:lang w:eastAsia="ru-RU"/>
        </w:rPr>
      </w:r>
      <w:r>
        <w:rPr>
          <w:color w:val="000000" w:themeColor="text1"/>
          <w:sz w:val="6"/>
          <w:szCs w:val="6"/>
          <w:lang w:eastAsia="ru-RU"/>
        </w:rPr>
      </w:r>
      <w:r>
        <w:rPr>
          <w:color w:val="000000" w:themeColor="text1"/>
          <w:sz w:val="6"/>
          <w:szCs w:val="6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3) В</w:t>
      </w:r>
      <w:r>
        <w:rPr>
          <w:color w:val="000000" w:themeColor="text1"/>
        </w:rPr>
        <w:t xml:space="preserve"> ходе реализации </w:t>
      </w:r>
      <w:r>
        <w:rPr>
          <w:b/>
          <w:color w:val="000000" w:themeColor="text1"/>
        </w:rPr>
        <w:t xml:space="preserve">РП «Борьба с сахарным диабетом»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 </w:t>
      </w:r>
      <w:r>
        <w:rPr>
          <w:color w:val="000000" w:themeColor="text1"/>
          <w:lang w:eastAsia="ru-RU"/>
        </w:rPr>
        <w:t xml:space="preserve">направлено 2 956,4 тыс. рублей (из них 2 926,8 тыс. рублей средства федерального бюджета) </w:t>
      </w:r>
      <w:r>
        <w:rPr>
          <w:color w:val="000000" w:themeColor="text1"/>
        </w:rPr>
        <w:t xml:space="preserve">или 99,9 </w:t>
      </w:r>
      <w:r>
        <w:rPr>
          <w:color w:val="000000" w:themeColor="text1"/>
          <w:lang w:eastAsia="ru-RU"/>
        </w:rPr>
        <w:t xml:space="preserve">% от утвержденных СБР ассигнований, в том числе: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1 851,4</w:t>
      </w:r>
      <w:r>
        <w:rPr>
          <w:color w:val="000000" w:themeColor="text1"/>
        </w:rPr>
        <w:t xml:space="preserve"> тыс. рублей на обеспечение детей с сахарным диабетом 1 типа в возрасте от 2 до 17 лет включительно системами непрерывного мониторинга глюкозы, в рамках которого заключены договоры </w:t>
      </w:r>
      <w:r>
        <w:rPr>
          <w:rFonts w:eastAsia="Times New Roman"/>
          <w:color w:val="000000" w:themeColor="text1"/>
          <w:lang w:eastAsia="ru-RU"/>
        </w:rPr>
        <w:t xml:space="preserve">на поставку систем непрерывного мониторинга глюкозы;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- 1 105,0 тыс. рублей на обеспечение беременных женщин с сахарным диабетом системами непрерывного мониторинга глюкозы, в рамках которого заключены договоры </w:t>
      </w:r>
      <w:r>
        <w:rPr>
          <w:rFonts w:eastAsia="Times New Roman"/>
          <w:color w:val="000000" w:themeColor="text1"/>
          <w:lang w:eastAsia="ru-RU"/>
        </w:rPr>
        <w:t xml:space="preserve">на поставку изделий медицинского назначения.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Фактическое </w:t>
      </w:r>
      <w:r>
        <w:rPr>
          <w:color w:val="000000" w:themeColor="text1"/>
          <w:lang w:eastAsia="ru-RU"/>
        </w:rPr>
        <w:t xml:space="preserve">выполнение составило 100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% от направленного финансирования.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4) </w:t>
      </w:r>
      <w:r>
        <w:rPr>
          <w:color w:val="000000" w:themeColor="text1"/>
          <w:lang w:eastAsia="ru-RU"/>
        </w:rPr>
        <w:t xml:space="preserve">В рамках </w:t>
      </w:r>
      <w:r>
        <w:rPr>
          <w:color w:val="000000" w:themeColor="text1"/>
          <w:lang w:eastAsia="ru-RU"/>
        </w:rPr>
        <w:t xml:space="preserve">РП «Борьба с гепатитом С и минимизация рисков распространения данного</w:t>
      </w:r>
      <w:r>
        <w:rPr>
          <w:b/>
          <w:color w:val="000000" w:themeColor="text1"/>
        </w:rPr>
        <w:t xml:space="preserve"> заболевания»</w:t>
      </w:r>
      <w:r>
        <w:rPr>
          <w:color w:val="000000" w:themeColor="text1"/>
        </w:rPr>
        <w:t xml:space="preserve"> на реализацию мероприятий по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обеспечению в амбулаторных условиях противовирусными лекарственными препаратами лиц, находящихся под диспансерным наблюдением, с диагнозом «хронический вирусный гепатит С» направлено 3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748,3 тыс. рублей (из них 3  710,8 тыс. рублей средства федерального бюджета) или </w:t>
      </w:r>
      <w:r>
        <w:rPr>
          <w:color w:val="000000" w:themeColor="text1"/>
          <w:lang w:eastAsia="ru-RU"/>
        </w:rPr>
        <w:t xml:space="preserve">99,8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% от утвержденных СБР ассигнований, </w:t>
      </w:r>
      <w:r>
        <w:rPr>
          <w:rFonts w:eastAsia="Times New Roman"/>
          <w:color w:val="000000" w:themeColor="text1"/>
          <w:lang w:eastAsia="ru-RU"/>
        </w:rPr>
        <w:t xml:space="preserve">на поставку лекарственных препаратов </w:t>
      </w:r>
      <w:r>
        <w:rPr>
          <w:rFonts w:eastAsia="Times New Roman"/>
          <w:color w:val="000000" w:themeColor="text1"/>
          <w:lang w:eastAsia="ru-RU"/>
        </w:rPr>
        <w:t xml:space="preserve">Даклатасвир</w:t>
      </w:r>
      <w:r>
        <w:rPr>
          <w:rFonts w:eastAsia="Times New Roman"/>
          <w:color w:val="000000" w:themeColor="text1"/>
          <w:lang w:eastAsia="ru-RU"/>
        </w:rPr>
        <w:t xml:space="preserve"> и </w:t>
      </w:r>
      <w:r>
        <w:rPr>
          <w:rFonts w:eastAsia="Times New Roman"/>
          <w:color w:val="000000" w:themeColor="text1"/>
          <w:lang w:eastAsia="ru-RU"/>
        </w:rPr>
        <w:t xml:space="preserve">Софосбувир</w:t>
      </w:r>
      <w:r>
        <w:rPr>
          <w:rFonts w:eastAsia="Times New Roman"/>
          <w:color w:val="000000" w:themeColor="text1"/>
          <w:lang w:eastAsia="ru-RU"/>
        </w:rPr>
        <w:t xml:space="preserve">. </w:t>
      </w:r>
      <w:r>
        <w:rPr>
          <w:color w:val="000000" w:themeColor="text1"/>
          <w:lang w:eastAsia="ru-RU"/>
        </w:rPr>
        <w:t xml:space="preserve">Фактическое </w:t>
      </w:r>
      <w:r>
        <w:rPr>
          <w:bCs/>
          <w:iCs/>
          <w:color w:val="000000" w:themeColor="text1"/>
        </w:rPr>
        <w:t xml:space="preserve">выполнение составило 100</w:t>
      </w:r>
      <w:r>
        <w:rPr>
          <w:bCs/>
          <w:iCs/>
          <w:color w:val="000000" w:themeColor="text1"/>
        </w:rPr>
        <w:t xml:space="preserve"> </w:t>
      </w:r>
      <w:r>
        <w:rPr>
          <w:color w:val="000000" w:themeColor="text1"/>
        </w:rPr>
        <w:t xml:space="preserve">% от направленного финансирования. Л</w:t>
      </w:r>
      <w:r>
        <w:rPr>
          <w:rFonts w:eastAsia="Times New Roman"/>
          <w:color w:val="000000" w:themeColor="text1"/>
          <w:lang w:eastAsia="ru-RU"/>
        </w:rPr>
        <w:t xml:space="preserve">ечение </w:t>
      </w:r>
      <w:r>
        <w:rPr>
          <w:rFonts w:eastAsia="Times New Roman"/>
          <w:color w:val="000000" w:themeColor="text1"/>
          <w:lang w:eastAsia="ru-RU"/>
        </w:rPr>
        <w:t xml:space="preserve">в амбулаторных условиях получили 16 человек.</w:t>
      </w: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отчетную дату отсутствует выполнение результата «Обеспечено ведение региональных сегментов Федерального регистра вирусных гепатитов и своевременное внесение данных о пациентах с хроническим вирусным гепатитом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С» при условной единице равной 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57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  <w14:ligatures w14:val="none"/>
        </w:rPr>
      </w:pPr>
      <w:r>
        <w:rPr>
          <w:rFonts w:eastAsia="Times New Roman"/>
          <w:color w:val="000000" w:themeColor="text1"/>
          <w:lang w:eastAsia="ru-RU"/>
        </w:rPr>
        <w:t xml:space="preserve">5) В рамках </w:t>
      </w:r>
      <w:r>
        <w:rPr>
          <w:rFonts w:eastAsia="Times New Roman"/>
          <w:color w:val="000000" w:themeColor="text1"/>
          <w:lang w:eastAsia="ru-RU"/>
        </w:rPr>
        <w:t xml:space="preserve">РП «Совершенствование экстренной медицинской помощи»</w:t>
      </w:r>
      <w:r>
        <w:rPr>
          <w:rFonts w:eastAsia="Times New Roman"/>
          <w:color w:val="000000" w:themeColor="text1"/>
          <w:lang w:eastAsia="ru-RU"/>
        </w:rPr>
        <w:t xml:space="preserve"> осуществлялась реализация мероприятия на обеспечение закупки авиационных работ в целях оказания медицинской помощи. На эти цели </w:t>
      </w:r>
      <w:r>
        <w:rPr>
          <w:rFonts w:eastAsia="Times New Roman"/>
          <w:color w:val="000000" w:themeColor="text1"/>
          <w:lang w:eastAsia="ru-RU"/>
        </w:rPr>
        <w:t xml:space="preserve">в отчетном периоде направлено 831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423,9 тыс. рублей (из них </w:t>
      </w:r>
      <w:r>
        <w:rPr>
          <w:rFonts w:eastAsia="Times New Roman"/>
          <w:color w:val="000000" w:themeColor="text1"/>
          <w:lang w:eastAsia="ru-RU"/>
        </w:rPr>
        <w:t xml:space="preserve">615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618,4 тыс. рублей средства федерального бюджета) </w:t>
      </w:r>
      <w:r>
        <w:rPr>
          <w:rFonts w:eastAsia="Times New Roman"/>
          <w:color w:val="000000" w:themeColor="text1"/>
          <w:lang w:eastAsia="ru-RU"/>
        </w:rPr>
        <w:t xml:space="preserve">или </w:t>
      </w:r>
      <w:r>
        <w:rPr>
          <w:rFonts w:eastAsia="Times New Roman"/>
          <w:color w:val="000000" w:themeColor="text1"/>
          <w:lang w:eastAsia="ru-RU"/>
        </w:rPr>
        <w:t xml:space="preserve">100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% от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утвержденных СБР</w:t>
      </w:r>
      <w:r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ассигнований. </w:t>
      </w:r>
      <w:r>
        <w:rPr>
          <w:rFonts w:eastAsia="Times New Roman"/>
          <w:color w:val="000000" w:themeColor="text1"/>
          <w:lang w:eastAsia="ru-RU"/>
          <w14:ligatures w14:val="none"/>
        </w:rPr>
      </w:r>
      <w:r>
        <w:rPr>
          <w:rFonts w:eastAsia="Times New Roman"/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  <w14:ligatures w14:val="none"/>
        </w:rPr>
      </w:pPr>
      <w:r>
        <w:rPr>
          <w:rFonts w:eastAsia="Times New Roman"/>
          <w:color w:val="000000" w:themeColor="text1"/>
          <w:lang w:eastAsia="ru-RU"/>
        </w:rPr>
        <w:t xml:space="preserve">По состоянию на 01.</w:t>
      </w:r>
      <w:r>
        <w:rPr>
          <w:rFonts w:eastAsia="Times New Roman"/>
          <w:color w:val="000000" w:themeColor="text1"/>
          <w:lang w:eastAsia="ru-RU"/>
        </w:rPr>
        <w:t xml:space="preserve">01</w:t>
      </w:r>
      <w:r>
        <w:rPr>
          <w:rFonts w:eastAsia="Times New Roman"/>
          <w:color w:val="000000" w:themeColor="text1"/>
          <w:lang w:eastAsia="ru-RU"/>
        </w:rPr>
        <w:t xml:space="preserve">.202</w:t>
      </w:r>
      <w:r>
        <w:rPr>
          <w:rFonts w:eastAsia="Times New Roman"/>
          <w:color w:val="000000" w:themeColor="text1"/>
          <w:lang w:eastAsia="ru-RU"/>
        </w:rPr>
        <w:t xml:space="preserve">6</w:t>
      </w:r>
      <w:r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было выполнено 356 вылетов, </w:t>
      </w:r>
      <w:r>
        <w:rPr>
          <w:rFonts w:eastAsia="Times New Roman"/>
          <w:color w:val="000000" w:themeColor="text1"/>
          <w:lang w:eastAsia="ru-RU"/>
        </w:rPr>
        <w:t xml:space="preserve">1 445,17 полетных часов, эвакуировано 527 человек</w:t>
      </w:r>
      <w:r>
        <w:rPr>
          <w:rFonts w:eastAsia="Times New Roman"/>
          <w:color w:val="000000" w:themeColor="text1"/>
          <w:lang w:eastAsia="ru-RU"/>
        </w:rPr>
        <w:t xml:space="preserve">.</w:t>
      </w:r>
      <w:r>
        <w:rPr>
          <w:rFonts w:eastAsia="Times New Roman"/>
          <w:color w:val="000000" w:themeColor="text1"/>
          <w:lang w:eastAsia="ru-RU"/>
          <w14:ligatures w14:val="none"/>
        </w:rPr>
      </w:r>
      <w:r>
        <w:rPr>
          <w:rFonts w:eastAsia="Times New Roman"/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  <w14:ligatures w14:val="none"/>
        </w:rPr>
      </w:pPr>
      <w:r>
        <w:rPr>
          <w:rFonts w:eastAsia="Times New Roman"/>
          <w:color w:val="000000" w:themeColor="text1"/>
          <w:lang w:eastAsia="ru-RU"/>
        </w:rPr>
        <w:t xml:space="preserve">Фактическое выполнение мероприятий РП</w:t>
      </w:r>
      <w:r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составило </w:t>
      </w:r>
      <w:r>
        <w:rPr>
          <w:rFonts w:eastAsia="Times New Roman"/>
          <w:color w:val="000000" w:themeColor="text1"/>
          <w:lang w:eastAsia="ru-RU"/>
        </w:rPr>
        <w:t xml:space="preserve">9</w:t>
      </w:r>
      <w:r>
        <w:rPr>
          <w:rFonts w:eastAsia="Times New Roman"/>
          <w:color w:val="000000" w:themeColor="text1"/>
          <w:lang w:eastAsia="ru-RU"/>
        </w:rPr>
        <w:t xml:space="preserve">9</w:t>
      </w:r>
      <w:r>
        <w:rPr>
          <w:rFonts w:eastAsia="Times New Roman"/>
          <w:color w:val="000000" w:themeColor="text1"/>
          <w:lang w:eastAsia="ru-RU"/>
        </w:rPr>
        <w:t xml:space="preserve">,</w:t>
      </w:r>
      <w:r>
        <w:rPr>
          <w:rFonts w:eastAsia="Times New Roman"/>
          <w:color w:val="000000" w:themeColor="text1"/>
          <w:lang w:eastAsia="ru-RU"/>
        </w:rPr>
        <w:t xml:space="preserve">2</w:t>
      </w:r>
      <w:r>
        <w:rPr>
          <w:rFonts w:eastAsia="Times New Roman"/>
          <w:color w:val="000000" w:themeColor="text1"/>
          <w:lang w:eastAsia="ru-RU"/>
        </w:rPr>
        <w:t xml:space="preserve">% от полученного финансирования.</w:t>
      </w:r>
      <w:r>
        <w:rPr>
          <w:rFonts w:eastAsia="Times New Roman"/>
          <w:color w:val="000000" w:themeColor="text1"/>
          <w:lang w:eastAsia="ru-RU"/>
          <w14:ligatures w14:val="none"/>
        </w:rPr>
      </w:r>
      <w:r>
        <w:rPr>
          <w:rFonts w:eastAsia="Times New Roman"/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lang w:eastAsia="ru-RU"/>
        </w:rPr>
        <w:t xml:space="preserve">6) В рамках реализации </w:t>
      </w:r>
      <w:r>
        <w:rPr>
          <w:rFonts w:eastAsia="Times New Roman"/>
          <w:color w:val="000000" w:themeColor="text1"/>
          <w:lang w:eastAsia="ru-RU"/>
        </w:rPr>
        <w:t xml:space="preserve">РП «Оптимальная для восстановления здоровья медицинская реабилитация»</w:t>
      </w:r>
      <w:r>
        <w:rPr>
          <w:rFonts w:eastAsia="Times New Roman"/>
          <w:color w:val="000000" w:themeColor="text1"/>
          <w:lang w:eastAsia="ru-RU"/>
        </w:rPr>
        <w:t xml:space="preserve"> на оснащение (дооснащение </w:t>
      </w:r>
      <w:r>
        <w:rPr>
          <w:rFonts w:eastAsia="Times New Roman"/>
          <w:color w:val="000000" w:themeColor="text1"/>
          <w:lang w:eastAsia="ru-RU"/>
        </w:rPr>
        <w:t xml:space="preserve">и (или) переоснащение) медицинскими изделиями медицинских организаций, имеющих в своей с</w:t>
      </w:r>
      <w:r>
        <w:rPr>
          <w:color w:val="000000" w:themeColor="text1"/>
          <w:lang w:eastAsia="ru-RU"/>
        </w:rPr>
        <w:t xml:space="preserve">труктуре подразделения, оказывающие медицинскую помощь по медицинской реабилитации, </w:t>
      </w:r>
      <w:r>
        <w:rPr>
          <w:color w:val="000000" w:themeColor="text1"/>
        </w:rPr>
        <w:t xml:space="preserve">направлено 56 125,9 тыс. рублей </w:t>
      </w:r>
      <w:r>
        <w:rPr>
          <w:color w:val="000000" w:themeColor="text1"/>
        </w:rPr>
        <w:t xml:space="preserve">(из них 55 386,4 тыс. рублей средства федерального бюджета) или </w:t>
      </w:r>
      <w:r>
        <w:rPr>
          <w:color w:val="000000" w:themeColor="text1"/>
        </w:rPr>
        <w:t xml:space="preserve">99,8</w:t>
      </w:r>
      <w:r>
        <w:rPr>
          <w:color w:val="000000" w:themeColor="text1"/>
        </w:rPr>
        <w:t xml:space="preserve"> </w:t>
      </w:r>
      <w:r>
        <w:rPr>
          <w:color w:val="000000" w:themeColor="text1"/>
          <w:lang w:eastAsia="ru-RU"/>
        </w:rPr>
        <w:t xml:space="preserve">% от утвержденных СБР ассигнований. </w:t>
      </w:r>
      <w:r>
        <w:rPr>
          <w:rFonts w:eastAsia="Times New Roman"/>
          <w:color w:val="000000" w:themeColor="text1"/>
          <w:lang w:eastAsia="ru-RU"/>
        </w:rPr>
        <w:t xml:space="preserve">За отчетный период закуплено </w:t>
      </w:r>
      <w:r>
        <w:rPr>
          <w:rFonts w:eastAsia="Times New Roman"/>
          <w:color w:val="000000" w:themeColor="text1"/>
        </w:rPr>
        <w:t xml:space="preserve">медицинских изделий</w:t>
      </w:r>
      <w:r>
        <w:rPr>
          <w:rFonts w:eastAsia="Times New Roman"/>
          <w:color w:val="000000" w:themeColor="text1"/>
        </w:rPr>
        <w:t xml:space="preserve"> в количестве 41 единицы</w:t>
      </w:r>
      <w:r>
        <w:rPr>
          <w:rFonts w:eastAsia="Times New Roman"/>
          <w:color w:val="000000" w:themeColor="text1"/>
        </w:rPr>
        <w:t xml:space="preserve">.</w:t>
      </w:r>
      <w:r>
        <w:rPr>
          <w:rFonts w:eastAsia="Times New Roman"/>
          <w:color w:val="000000" w:themeColor="text1"/>
        </w:rPr>
      </w:r>
      <w:r>
        <w:rPr>
          <w:rFonts w:eastAsia="Times New Roman"/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выполнение мероприятий РП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составило </w:t>
      </w:r>
      <w:r>
        <w:rPr>
          <w:color w:val="000000" w:themeColor="text1"/>
          <w:lang w:eastAsia="ru-RU"/>
        </w:rPr>
        <w:t xml:space="preserve">90,7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% от полученного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ind w:right="57" w:firstLine="57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7) В рамках реализации </w:t>
      </w:r>
      <w:r>
        <w:rPr>
          <w:b/>
          <w:color w:val="000000" w:themeColor="text1"/>
          <w:lang w:eastAsia="ru-RU"/>
        </w:rPr>
        <w:t xml:space="preserve">РП «Здоровье для каждого»</w:t>
      </w:r>
      <w:r>
        <w:rPr>
          <w:color w:val="000000" w:themeColor="text1"/>
          <w:lang w:eastAsia="ru-RU"/>
        </w:rPr>
        <w:t xml:space="preserve"> на организацию Центров здоровья для взрослых на базе отделений (кабинетов) медицинской проф</w:t>
      </w:r>
      <w:r>
        <w:rPr>
          <w:color w:val="000000" w:themeColor="text1"/>
          <w:lang w:eastAsia="ru-RU"/>
        </w:rPr>
        <w:t xml:space="preserve">илактики в центральных районных и районных больницах, в том числе в 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 </w:t>
      </w:r>
      <w:r>
        <w:rPr>
          <w:color w:val="000000" w:themeColor="text1"/>
        </w:rPr>
        <w:t xml:space="preserve">направлено 1 186,5 тыс. рублей (из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них 1 174,6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тыс. рублей средства федерального бюджета) или </w:t>
      </w:r>
      <w:r>
        <w:rPr>
          <w:color w:val="000000" w:themeColor="text1"/>
          <w:lang w:eastAsia="ru-RU"/>
        </w:rPr>
        <w:t xml:space="preserve">100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% от утвержденных СБР ассигнований на приобретение </w:t>
      </w:r>
      <w:r>
        <w:rPr>
          <w:rFonts w:eastAsia="Times New Roman"/>
          <w:color w:val="000000" w:themeColor="text1"/>
          <w:lang w:eastAsia="ru-RU"/>
        </w:rPr>
        <w:t xml:space="preserve">оборудования в количестве 7 единиц для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оснащения (дооснащения) существующего Центра здоровья для взрослых на базе ГБУЗ «Чукотская окружная больница» </w:t>
      </w:r>
      <w:r>
        <w:rPr>
          <w:rFonts w:eastAsia="Times New Roman"/>
          <w:color w:val="000000" w:themeColor="text1"/>
          <w:lang w:eastAsia="ru-RU"/>
        </w:rPr>
        <w:t xml:space="preserve">в г. Анадырь.</w:t>
      </w: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Фактическое </w:t>
      </w:r>
      <w:r>
        <w:rPr>
          <w:bCs/>
          <w:iCs/>
          <w:color w:val="000000" w:themeColor="text1"/>
        </w:rPr>
        <w:t xml:space="preserve">выполнение составило 100</w:t>
      </w:r>
      <w:r>
        <w:rPr>
          <w:bCs/>
          <w:iCs/>
          <w:color w:val="000000" w:themeColor="text1"/>
        </w:rPr>
        <w:t xml:space="preserve"> </w:t>
      </w:r>
      <w:r>
        <w:rPr>
          <w:color w:val="000000" w:themeColor="text1"/>
        </w:rPr>
        <w:t xml:space="preserve">% от направленного финансирования.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b/>
          <w:color w:val="000000" w:themeColor="text1"/>
        </w:rPr>
        <w:t xml:space="preserve">2.2.</w:t>
      </w:r>
      <w:r>
        <w:rPr>
          <w:color w:val="000000" w:themeColor="text1"/>
        </w:rPr>
        <w:t xml:space="preserve"> В рамках </w:t>
      </w:r>
      <w:r>
        <w:rPr>
          <w:b/>
          <w:i/>
          <w:color w:val="000000" w:themeColor="text1"/>
        </w:rPr>
        <w:t xml:space="preserve">НП «Технологическое обеспечение продовольственной безопасности»</w:t>
      </w:r>
      <w:r>
        <w:rPr>
          <w:color w:val="000000" w:themeColor="text1"/>
        </w:rPr>
        <w:t xml:space="preserve"> реализуется </w:t>
      </w:r>
      <w:r>
        <w:rPr>
          <w:b/>
          <w:color w:val="000000" w:themeColor="text1"/>
        </w:rPr>
        <w:t xml:space="preserve">РП «Кадры в агропромышленном комплексе»</w:t>
      </w:r>
      <w:r>
        <w:rPr>
          <w:color w:val="000000" w:themeColor="text1"/>
        </w:rPr>
        <w:t xml:space="preserve">, мероприятия которого интегрированы в государственную программу «Развитие агропромышленного комплекса Чукотского автономного округа».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реализацию регионального проекта в 2025 году </w:t>
      </w:r>
      <w:r>
        <w:rPr>
          <w:color w:val="000000" w:themeColor="text1"/>
        </w:rPr>
        <w:t xml:space="preserve">направлены</w:t>
      </w:r>
      <w:r>
        <w:rPr>
          <w:color w:val="000000" w:themeColor="text1"/>
        </w:rPr>
        <w:t xml:space="preserve"> бюджетные ассигнования в сумме </w:t>
      </w:r>
      <w:r>
        <w:rPr>
          <w:color w:val="000000" w:themeColor="text1"/>
        </w:rPr>
        <w:t xml:space="preserve">2 175,</w:t>
      </w:r>
      <w:r>
        <w:rPr>
          <w:color w:val="000000" w:themeColor="text1"/>
        </w:rPr>
        <w:t xml:space="preserve">0 </w:t>
      </w:r>
      <w:r>
        <w:rPr>
          <w:color w:val="000000" w:themeColor="text1"/>
        </w:rPr>
        <w:t xml:space="preserve">тыс. рублей, из них </w:t>
      </w:r>
      <w:r>
        <w:rPr>
          <w:color w:val="000000" w:themeColor="text1"/>
        </w:rPr>
        <w:t xml:space="preserve">443,1 тыс. рублей средства федерального бюджета (рис. 3).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4"/>
          <w:szCs w:val="4"/>
        </w:rPr>
      </w:pPr>
      <w:r>
        <w:rPr>
          <w:color w:val="000000" w:themeColor="text1"/>
          <w:sz w:val="4"/>
          <w:szCs w:val="4"/>
        </w:rPr>
      </w:r>
      <w:r>
        <w:rPr>
          <w:color w:val="000000" w:themeColor="text1"/>
          <w:sz w:val="4"/>
          <w:szCs w:val="4"/>
        </w:rPr>
      </w:r>
      <w:r>
        <w:rPr>
          <w:color w:val="000000" w:themeColor="text1"/>
          <w:sz w:val="4"/>
          <w:szCs w:val="4"/>
        </w:rPr>
      </w:r>
    </w:p>
    <w:p>
      <w:pPr>
        <w:pStyle w:val="4482"/>
        <w:ind w:firstLine="0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drawing>
          <wp:inline distT="0" distB="0" distL="0" distR="0">
            <wp:extent cx="5905500" cy="1189713"/>
            <wp:effectExtent l="4680" t="4680" r="4680" b="4680"/>
            <wp:docPr id="4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jc w:val="center"/>
        <w:spacing w:before="0" w:beforeAutospacing="0" w:after="0" w:afterAutospacing="0" w:line="240" w:lineRule="auto"/>
        <w:rPr>
          <w:color w:val="000000" w:themeColor="text1"/>
          <w:sz w:val="6"/>
          <w:szCs w:val="6"/>
        </w:rPr>
      </w:pP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</w:p>
    <w:p>
      <w:pPr>
        <w:pStyle w:val="4482"/>
        <w:jc w:val="center"/>
        <w:spacing w:before="0" w:beforeAutospacing="0" w:after="0" w:afterAutospacing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Рис. 3 (тыс. рублей)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По данным отчета о ходе реализации регионального проекта за 2025 год, установленные паспортом регионального проекта </w:t>
      </w:r>
      <w:r>
        <w:rPr>
          <w:color w:val="000000" w:themeColor="text1"/>
          <w:lang w:eastAsia="ru-RU"/>
        </w:rPr>
        <w:t xml:space="preserve">все </w:t>
      </w:r>
      <w:r>
        <w:rPr>
          <w:color w:val="000000" w:themeColor="text1"/>
          <w:lang w:eastAsia="ru-RU"/>
        </w:rPr>
        <w:t xml:space="preserve">три показателя, один результат и пять контрольных точек достигнуты.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Анализ хода реализации региональных проектов в рамках </w:t>
      </w:r>
      <w:r>
        <w:rPr>
          <w:b/>
          <w:i/>
          <w:color w:val="000000" w:themeColor="text1"/>
        </w:rPr>
        <w:t xml:space="preserve">НП</w:t>
      </w:r>
      <w:r>
        <w:rPr>
          <w:b/>
          <w:i/>
          <w:color w:val="000000" w:themeColor="text1"/>
        </w:rPr>
        <w:t xml:space="preserve"> </w:t>
      </w:r>
      <w:r>
        <w:rPr>
          <w:b/>
          <w:i/>
          <w:color w:val="000000" w:themeColor="text1"/>
        </w:rPr>
        <w:t xml:space="preserve">«Технологическое обеспечение продовольственной безопасности»</w:t>
      </w:r>
      <w:r>
        <w:rPr>
          <w:color w:val="000000" w:themeColor="text1"/>
        </w:rPr>
        <w:t xml:space="preserve"> показал следующее.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В ходе реализации </w:t>
      </w:r>
      <w:r>
        <w:rPr>
          <w:b/>
          <w:color w:val="000000" w:themeColor="text1"/>
        </w:rPr>
        <w:t xml:space="preserve">РП «Кадры в агропромышленном комплексе»</w:t>
      </w:r>
      <w:r>
        <w:rPr>
          <w:color w:val="000000" w:themeColor="text1"/>
        </w:rPr>
        <w:t xml:space="preserve"> </w:t>
      </w:r>
      <w:bookmarkStart w:id="0" w:name="undefined"/>
      <w:r>
        <w:rPr>
          <w:color w:val="000000" w:themeColor="text1"/>
        </w:rPr>
        <w:t xml:space="preserve">осуществлялась реализация мероприятий по содействию повышения кадровой обеспеченности предприятий агропромышленного комплекса.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hd w:val="clear" w:color="auto" w:fill="ffffff"/>
        </w:rPr>
      </w:pPr>
      <w:r>
        <w:rPr>
          <w:color w:val="000000" w:themeColor="text1"/>
        </w:rPr>
        <w:t xml:space="preserve">За отчетный период</w:t>
      </w:r>
      <w:r>
        <w:rPr>
          <w:color w:val="000000" w:themeColor="text1"/>
        </w:rPr>
        <w:t xml:space="preserve"> в МУП СХП «Амгуэма» для прохождения производственной практики привлечены </w:t>
      </w:r>
      <w:r>
        <w:rPr>
          <w:color w:val="000000" w:themeColor="text1"/>
        </w:rPr>
        <w:t xml:space="preserve">шесть</w:t>
      </w:r>
      <w:r>
        <w:rPr>
          <w:color w:val="000000" w:themeColor="text1"/>
        </w:rPr>
        <w:t xml:space="preserve"> студентов, обучающихся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ФГБОУ ВПО «</w:t>
      </w:r>
      <w:r>
        <w:rPr>
          <w:color w:val="000000" w:themeColor="text1"/>
        </w:rPr>
        <w:t xml:space="preserve">ДальГАУ</w:t>
      </w:r>
      <w:r>
        <w:rPr>
          <w:color w:val="000000" w:themeColor="text1"/>
        </w:rPr>
        <w:t xml:space="preserve">»</w:t>
      </w:r>
      <w:r>
        <w:rPr>
          <w:color w:val="000000" w:themeColor="text1"/>
        </w:rPr>
        <w:t xml:space="preserve"> и </w:t>
      </w:r>
      <w:r>
        <w:rPr>
          <w:rFonts w:eastAsia="Times New Roman"/>
          <w:bCs/>
          <w:color w:val="000000" w:themeColor="text1"/>
          <w:lang w:eastAsia="ru-RU"/>
        </w:rPr>
        <w:t xml:space="preserve">ФГБОУ ВО «Омский государственный аграрный университет имени </w:t>
      </w:r>
      <w:r>
        <w:rPr>
          <w:rFonts w:eastAsia="Times New Roman"/>
          <w:bCs/>
          <w:color w:val="000000" w:themeColor="text1"/>
          <w:lang w:eastAsia="ru-RU"/>
        </w:rPr>
        <w:t xml:space="preserve">П.А.Столыпина</w:t>
      </w:r>
      <w:r>
        <w:rPr>
          <w:rFonts w:eastAsia="Times New Roman"/>
          <w:bCs/>
          <w:color w:val="000000" w:themeColor="text1"/>
          <w:lang w:eastAsia="ru-RU"/>
        </w:rPr>
        <w:t xml:space="preserve">», которые </w:t>
      </w:r>
      <w:bookmarkEnd w:id="0"/>
      <w:r>
        <w:rPr>
          <w:color w:val="000000" w:themeColor="text1"/>
          <w:shd w:val="clear" w:color="auto" w:fill="ffffff"/>
        </w:rPr>
        <w:t xml:space="preserve">успешно завершили практическую подготовку и возвратились к образовательной деятельности. </w:t>
      </w:r>
      <w:r>
        <w:rPr>
          <w:color w:val="000000" w:themeColor="text1"/>
          <w:shd w:val="clear" w:color="auto" w:fill="ffffff"/>
        </w:rPr>
      </w:r>
      <w:r>
        <w:rPr>
          <w:color w:val="000000" w:themeColor="text1"/>
          <w:shd w:val="clear" w:color="auto" w:fill="ffffff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</w:t>
      </w:r>
      <w:r>
        <w:rPr>
          <w:bCs/>
          <w:iCs/>
          <w:color w:val="000000" w:themeColor="text1"/>
        </w:rPr>
        <w:t xml:space="preserve">выполнение составило 100</w:t>
      </w:r>
      <w:r>
        <w:rPr>
          <w:bCs/>
          <w:iCs/>
          <w:color w:val="000000" w:themeColor="text1"/>
        </w:rPr>
        <w:t xml:space="preserve"> </w:t>
      </w:r>
      <w:r>
        <w:rPr>
          <w:color w:val="000000" w:themeColor="text1"/>
        </w:rPr>
        <w:t xml:space="preserve">% от направленного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14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2.3.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</w:rPr>
        <w:t xml:space="preserve">НП «Инфраструктура для жизни»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 территории округа реализуется посредством семи региональных проектов, мероприятия которых интегрированы в государственные программы «Развитие жилищного строительства в Чукотском автономном округе», «Развитие жилищно-коммунального хозяйства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водохозяйственного комплекса Чукотского автономного округа», «Формирование комфортной городской среды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Чукотском автономном округе», «Обеспечение охраны общественного порядка и повышения безопасности дорожного движения в Чукотском автономном округе», «Развитие транспортной инфраструктуры Чукотского автономного округа». По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«Развитие инфраструктуры в населенных пунктах», РП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«Безопасность дорожного движения»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«Общественные меры развития дорожного хозяйства»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финансовое обеспечение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 предусмотрено.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На реализацию региональных проектов </w:t>
      </w:r>
      <w:r>
        <w:rPr>
          <w:color w:val="000000" w:themeColor="text1"/>
          <w:lang w:eastAsia="ru-RU"/>
        </w:rPr>
        <w:t xml:space="preserve">НП «Инфраструктура для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жизни»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</w:t>
      </w:r>
      <w:r>
        <w:rPr>
          <w:color w:val="000000" w:themeColor="text1"/>
          <w:lang w:eastAsia="ru-RU"/>
        </w:rPr>
        <w:t xml:space="preserve"> из окружного бюджета направлено 3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644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723,1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тыс. рублей (из них 2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842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094,7 тыс. рублей – средства федерального бюджета) или 99,2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% от утвержденных сводной бюджетной росписью ассигнований. Ф</w:t>
      </w:r>
      <w:r>
        <w:rPr>
          <w:color w:val="000000" w:themeColor="text1"/>
          <w:lang w:eastAsia="ru-RU"/>
        </w:rPr>
        <w:t xml:space="preserve">актическое выполнение мероприятий региональных проектов составило </w:t>
      </w:r>
      <w:r>
        <w:rPr>
          <w:color w:val="000000" w:themeColor="text1"/>
          <w:lang w:eastAsia="ru-RU"/>
        </w:rPr>
        <w:t xml:space="preserve">3 613 102,8</w:t>
      </w:r>
      <w:r>
        <w:rPr>
          <w:color w:val="000000" w:themeColor="text1"/>
          <w:lang w:eastAsia="ru-RU"/>
        </w:rPr>
        <w:t xml:space="preserve"> тыс. рублей, </w:t>
      </w:r>
      <w:r>
        <w:rPr>
          <w:color w:val="000000" w:themeColor="text1"/>
          <w:lang w:eastAsia="ru-RU"/>
        </w:rPr>
        <w:t xml:space="preserve">из них </w:t>
      </w:r>
      <w:r>
        <w:rPr>
          <w:color w:val="000000" w:themeColor="text1"/>
          <w:lang w:eastAsia="ru-RU"/>
        </w:rPr>
        <w:t xml:space="preserve">523 866,1</w:t>
      </w:r>
      <w:r>
        <w:rPr>
          <w:color w:val="000000" w:themeColor="text1"/>
          <w:lang w:eastAsia="ru-RU"/>
        </w:rPr>
        <w:t xml:space="preserve"> тыс. рублей за счет авансовых платежей 202</w:t>
      </w:r>
      <w:r>
        <w:rPr>
          <w:color w:val="000000" w:themeColor="text1"/>
          <w:lang w:eastAsia="ru-RU"/>
        </w:rPr>
        <w:t xml:space="preserve">1</w:t>
      </w:r>
      <w:r>
        <w:rPr>
          <w:color w:val="000000" w:themeColor="text1"/>
          <w:lang w:eastAsia="ru-RU"/>
        </w:rPr>
        <w:t xml:space="preserve">-2024 годов</w:t>
      </w:r>
      <w:r>
        <w:rPr>
          <w:color w:val="000000" w:themeColor="text1"/>
          <w:lang w:eastAsia="ru-RU"/>
        </w:rPr>
        <w:t xml:space="preserve"> в рамках реализации национальных проектов прошлых лет «</w:t>
      </w:r>
      <w:r>
        <w:rPr>
          <w:color w:val="000000" w:themeColor="text1"/>
          <w:lang w:eastAsia="ru-RU"/>
        </w:rPr>
        <w:t xml:space="preserve">Жилье</w:t>
      </w:r>
      <w:r>
        <w:rPr>
          <w:color w:val="000000" w:themeColor="text1"/>
          <w:lang w:eastAsia="ru-RU"/>
        </w:rPr>
        <w:t xml:space="preserve">», «</w:t>
      </w:r>
      <w:r>
        <w:rPr>
          <w:color w:val="000000" w:themeColor="text1"/>
          <w:lang w:eastAsia="ru-RU"/>
        </w:rPr>
        <w:t xml:space="preserve">Обеспечение устойчивого сокращения непригодного для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проживания жилищного фонда</w:t>
      </w:r>
      <w:r>
        <w:rPr>
          <w:color w:val="000000" w:themeColor="text1"/>
          <w:lang w:eastAsia="ru-RU"/>
        </w:rPr>
        <w:t xml:space="preserve">» </w:t>
      </w:r>
      <w:r>
        <w:rPr>
          <w:color w:val="000000" w:themeColor="text1"/>
          <w:lang w:eastAsia="ru-RU"/>
        </w:rPr>
        <w:t xml:space="preserve">и «</w:t>
      </w:r>
      <w:r>
        <w:rPr>
          <w:color w:val="000000" w:themeColor="text1"/>
          <w:lang w:eastAsia="ru-RU"/>
        </w:rPr>
        <w:t xml:space="preserve">Жилье и городская среда</w:t>
      </w:r>
      <w:r>
        <w:rPr>
          <w:color w:val="000000" w:themeColor="text1"/>
          <w:lang w:eastAsia="ru-RU"/>
        </w:rPr>
        <w:t xml:space="preserve">»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Неиспользованные</w:t>
      </w:r>
      <w:r>
        <w:rPr>
          <w:color w:val="000000" w:themeColor="text1"/>
          <w:lang w:eastAsia="ru-RU"/>
        </w:rPr>
        <w:t xml:space="preserve"> в 2025 году </w:t>
      </w:r>
      <w:r>
        <w:rPr>
          <w:color w:val="000000" w:themeColor="text1"/>
          <w:lang w:eastAsia="ru-RU"/>
        </w:rPr>
        <w:t xml:space="preserve">бюджетные ассигнования, предоставленные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на реализацию мероприятий РП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осуществлен возврат </w:t>
      </w:r>
      <w:r>
        <w:rPr>
          <w:color w:val="000000" w:themeColor="text1"/>
          <w:lang w:eastAsia="ru-RU"/>
        </w:rPr>
        <w:t xml:space="preserve">в окружной бюджет), </w:t>
      </w:r>
      <w:r>
        <w:rPr>
          <w:color w:val="000000" w:themeColor="text1"/>
          <w:lang w:eastAsia="ru-RU"/>
        </w:rPr>
        <w:t xml:space="preserve">составили </w:t>
      </w:r>
      <w:r>
        <w:rPr>
          <w:color w:val="000000" w:themeColor="text1"/>
          <w:lang w:eastAsia="ru-RU"/>
        </w:rPr>
        <w:t xml:space="preserve">207 370,8</w:t>
      </w:r>
      <w:r>
        <w:rPr>
          <w:color w:val="000000" w:themeColor="text1"/>
          <w:lang w:eastAsia="ru-RU"/>
        </w:rPr>
        <w:t xml:space="preserve"> тыс. рублей, из них </w:t>
      </w:r>
      <w:r>
        <w:rPr>
          <w:color w:val="000000" w:themeColor="text1"/>
          <w:lang w:eastAsia="ru-RU"/>
        </w:rPr>
        <w:t xml:space="preserve">203 633,1</w:t>
      </w:r>
      <w:r>
        <w:rPr>
          <w:color w:val="000000" w:themeColor="text1"/>
          <w:lang w:eastAsia="ru-RU"/>
        </w:rPr>
        <w:t xml:space="preserve"> тыс. рублей остатки неиспользованных средств </w:t>
      </w:r>
      <w:r>
        <w:rPr>
          <w:color w:val="000000" w:themeColor="text1"/>
          <w:lang w:eastAsia="ru-RU"/>
        </w:rPr>
        <w:t xml:space="preserve">субсидий на иные цели, потребность использования которых в 2026 году подтверждена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lang w:eastAsia="ru-RU"/>
        </w:rPr>
        <w:t xml:space="preserve">Дебиторская задолженность по состоянию на </w:t>
      </w:r>
      <w:r>
        <w:rPr>
          <w:color w:val="000000" w:themeColor="text1"/>
          <w:lang w:eastAsia="ru-RU"/>
        </w:rPr>
        <w:t xml:space="preserve">1 января 2026 года </w:t>
      </w:r>
      <w:r>
        <w:rPr>
          <w:color w:val="000000" w:themeColor="text1"/>
          <w:lang w:eastAsia="ru-RU"/>
        </w:rPr>
        <w:t xml:space="preserve">составила </w:t>
      </w:r>
      <w:r>
        <w:rPr>
          <w:color w:val="000000" w:themeColor="text1"/>
          <w:lang w:eastAsia="ru-RU"/>
        </w:rPr>
        <w:t xml:space="preserve">1 068 428,4</w:t>
      </w:r>
      <w:r>
        <w:rPr>
          <w:color w:val="000000" w:themeColor="text1"/>
          <w:lang w:eastAsia="ru-RU"/>
        </w:rPr>
        <w:t xml:space="preserve"> тыс. рублей, из них </w:t>
      </w:r>
      <w:r>
        <w:rPr>
          <w:color w:val="000000" w:themeColor="text1"/>
          <w:lang w:eastAsia="ru-RU"/>
        </w:rPr>
        <w:t xml:space="preserve">636 508,0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тыс.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рублей средства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-2024 годов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национальных проектов прошлых лет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«Жилье»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«Обеспечение устойчивого сокращения непригодного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проживания жилищного фонда»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НП «Культура»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(рис. 4).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pStyle w:val="457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</w:rPr>
        <w:drawing>
          <wp:inline distT="0" distB="0" distL="0" distR="0">
            <wp:extent cx="5918200" cy="1433015"/>
            <wp:effectExtent l="0" t="0" r="6350" b="15240"/>
            <wp:docPr id="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ind w:right="57" w:firstLine="709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4"/>
          <w:szCs w:val="4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4"/>
          <w:szCs w:val="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4"/>
          <w:szCs w:val="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4"/>
          <w:szCs w:val="4"/>
          <w:lang w:eastAsia="ru-RU"/>
        </w:rPr>
      </w:r>
    </w:p>
    <w:p>
      <w:pPr>
        <w:ind w:right="57" w:firstLine="709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Рис. 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(тыс. рублей)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10"/>
          <w:szCs w:val="10"/>
          <w:lang w:eastAsia="ru-RU"/>
        </w:rPr>
      </w:pPr>
      <w:r>
        <w:rPr>
          <w:color w:val="000000" w:themeColor="text1"/>
          <w:sz w:val="10"/>
          <w:szCs w:val="10"/>
          <w:lang w:eastAsia="ru-RU"/>
        </w:rPr>
      </w:r>
      <w:r>
        <w:rPr>
          <w:color w:val="000000" w:themeColor="text1"/>
          <w:sz w:val="10"/>
          <w:szCs w:val="10"/>
          <w:lang w:eastAsia="ru-RU"/>
        </w:rPr>
      </w:r>
      <w:r>
        <w:rPr>
          <w:color w:val="000000" w:themeColor="text1"/>
          <w:sz w:val="10"/>
          <w:szCs w:val="10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По данным отчета о ходе реализации регионального проекта за 2025 год, установленные паспортом регионального проекта: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все</w:t>
      </w:r>
      <w:r>
        <w:rPr>
          <w:color w:val="000000" w:themeColor="text1"/>
          <w:lang w:eastAsia="ru-RU"/>
        </w:rPr>
        <w:t xml:space="preserve"> 13 </w:t>
      </w:r>
      <w:r>
        <w:rPr>
          <w:color w:val="000000" w:themeColor="text1"/>
          <w:lang w:eastAsia="ru-RU"/>
        </w:rPr>
        <w:t xml:space="preserve">показател</w:t>
      </w:r>
      <w:r>
        <w:rPr>
          <w:color w:val="000000" w:themeColor="text1"/>
          <w:lang w:eastAsia="ru-RU"/>
        </w:rPr>
        <w:t xml:space="preserve">ей</w:t>
      </w:r>
      <w:r>
        <w:rPr>
          <w:color w:val="000000" w:themeColor="text1"/>
          <w:lang w:eastAsia="ru-RU"/>
        </w:rPr>
        <w:t xml:space="preserve"> достигнут</w:t>
      </w:r>
      <w:r>
        <w:rPr>
          <w:color w:val="000000" w:themeColor="text1"/>
          <w:lang w:eastAsia="ru-RU"/>
        </w:rPr>
        <w:t xml:space="preserve">ы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9 из 11 результатов достигнуты. Н</w:t>
      </w:r>
      <w:r>
        <w:rPr>
          <w:rFonts w:eastAsia="Times New Roman"/>
          <w:color w:val="000000" w:themeColor="text1"/>
          <w:lang w:eastAsia="ru-RU"/>
        </w:rPr>
        <w:t xml:space="preserve">е достигнуты по РП «Модернизация коммунальной инфраструктуры»</w:t>
      </w:r>
      <w:r>
        <w:rPr>
          <w:rFonts w:eastAsia="Times New Roman"/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(0 из 1) </w:t>
      </w:r>
      <w:r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результат «На территориях субъектов Российской Федерации и г.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Байконура завершено строительство, реконструкция (модернизация), капитальный ремонт объектов тепло-водоснабжения и водоотведения, предусмотренных региональными комплексными планами» </w:t>
      </w:r>
      <w:r>
        <w:rPr>
          <w:color w:val="000000" w:themeColor="text1"/>
          <w:lang w:eastAsia="ru-RU"/>
        </w:rPr>
        <w:t xml:space="preserve">и </w:t>
      </w:r>
      <w:r>
        <w:rPr>
          <w:color w:val="000000" w:themeColor="text1"/>
          <w:lang w:eastAsia="ru-RU"/>
        </w:rPr>
        <w:t xml:space="preserve">по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РП «Общественные меры развития дорожного хозяйства»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(0 из 1) </w:t>
      </w:r>
      <w:r>
        <w:rPr>
          <w:color w:val="000000" w:themeColor="text1"/>
          <w:lang w:eastAsia="ru-RU"/>
        </w:rPr>
        <w:t xml:space="preserve">результат «Размещены автоматические пункты весогабаритного контроля транспортных средств на автомобильных дорогах регионального или межмуниципального, местного значения»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все</w:t>
      </w:r>
      <w:r>
        <w:rPr>
          <w:color w:val="000000" w:themeColor="text1"/>
          <w:lang w:eastAsia="ru-RU"/>
        </w:rPr>
        <w:t xml:space="preserve"> 8</w:t>
      </w:r>
      <w:r>
        <w:rPr>
          <w:color w:val="000000" w:themeColor="text1"/>
          <w:lang w:eastAsia="ru-RU"/>
        </w:rPr>
        <w:t xml:space="preserve">5</w:t>
      </w:r>
      <w:r>
        <w:rPr>
          <w:color w:val="000000" w:themeColor="text1"/>
          <w:lang w:eastAsia="ru-RU"/>
        </w:rPr>
        <w:t xml:space="preserve"> контрольных точек достигнуты.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Анализ хода реализации региональных проектов в рамках </w:t>
      </w:r>
      <w:r>
        <w:rPr>
          <w:b/>
          <w:i/>
          <w:color w:val="000000" w:themeColor="text1"/>
          <w:lang w:eastAsia="ru-RU"/>
        </w:rPr>
        <w:t xml:space="preserve">НП </w:t>
      </w:r>
      <w:r>
        <w:rPr>
          <w:b/>
          <w:i/>
          <w:color w:val="000000" w:themeColor="text1"/>
        </w:rPr>
        <w:t xml:space="preserve">«Инфраструктура для жизни»</w:t>
      </w:r>
      <w:r>
        <w:rPr>
          <w:color w:val="000000" w:themeColor="text1"/>
          <w:lang w:eastAsia="ru-RU"/>
        </w:rPr>
        <w:t xml:space="preserve"> показал следующее.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</w:rPr>
        <w:t xml:space="preserve">1) В рамках реализации </w:t>
      </w:r>
      <w:r>
        <w:rPr>
          <w:b/>
          <w:color w:val="000000" w:themeColor="text1"/>
        </w:rPr>
        <w:t xml:space="preserve">РП «Жилье» </w:t>
      </w:r>
      <w:r>
        <w:rPr>
          <w:color w:val="000000" w:themeColor="text1"/>
          <w:lang w:eastAsia="ru-RU"/>
        </w:rPr>
        <w:t xml:space="preserve">в отчетном периоде направлено                      604 184,8 тыс. рублей</w:t>
      </w:r>
      <w:r>
        <w:rPr>
          <w:color w:val="000000" w:themeColor="text1"/>
          <w:lang w:eastAsia="ru-RU"/>
        </w:rPr>
        <w:t xml:space="preserve">, из них 6 574,9 </w:t>
      </w:r>
      <w:r>
        <w:rPr>
          <w:color w:val="000000" w:themeColor="text1"/>
          <w:lang w:eastAsia="ru-RU"/>
        </w:rPr>
        <w:t xml:space="preserve">тыс. рублей </w:t>
      </w:r>
      <w:r>
        <w:rPr>
          <w:color w:val="000000" w:themeColor="text1"/>
          <w:lang w:eastAsia="ru-RU"/>
        </w:rPr>
        <w:t xml:space="preserve">средства Фонда РТ</w:t>
      </w:r>
      <w:r>
        <w:rPr>
          <w:color w:val="000000" w:themeColor="text1"/>
          <w:lang w:eastAsia="ru-RU"/>
        </w:rPr>
        <w:t xml:space="preserve"> или </w:t>
      </w:r>
      <w:r>
        <w:rPr>
          <w:color w:val="000000" w:themeColor="text1"/>
          <w:lang w:eastAsia="ru-RU"/>
        </w:rPr>
        <w:t xml:space="preserve">95,4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% </w:t>
      </w:r>
      <w:r>
        <w:rPr>
          <w:color w:val="000000" w:themeColor="text1"/>
        </w:rPr>
        <w:t xml:space="preserve">от утвержденных сводной бюджетной росписью ассигнований</w:t>
      </w:r>
      <w:r>
        <w:rPr>
          <w:color w:val="000000" w:themeColor="text1"/>
          <w:lang w:eastAsia="ru-RU"/>
        </w:rPr>
        <w:t xml:space="preserve">, из них: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u w:val="single"/>
          <w:lang w:eastAsia="ru-RU"/>
        </w:rPr>
        <w:t xml:space="preserve">- </w:t>
      </w:r>
      <w:r>
        <w:rPr>
          <w:color w:val="000000" w:themeColor="text1"/>
          <w:u w:val="single"/>
          <w:lang w:eastAsia="ru-RU"/>
        </w:rPr>
        <w:t xml:space="preserve">309</w:t>
      </w:r>
      <w:r>
        <w:rPr>
          <w:color w:val="000000" w:themeColor="text1"/>
          <w:u w:val="single"/>
          <w:lang w:val="en-US" w:eastAsia="ru-RU"/>
        </w:rPr>
        <w:t xml:space="preserve"> </w:t>
      </w:r>
      <w:r>
        <w:rPr>
          <w:color w:val="000000" w:themeColor="text1"/>
          <w:u w:val="single"/>
          <w:lang w:eastAsia="ru-RU"/>
        </w:rPr>
        <w:t xml:space="preserve">598</w:t>
      </w:r>
      <w:r>
        <w:rPr>
          <w:color w:val="000000" w:themeColor="text1"/>
          <w:u w:val="single"/>
          <w:lang w:eastAsia="ru-RU"/>
        </w:rPr>
        <w:t xml:space="preserve">,</w:t>
      </w:r>
      <w:r>
        <w:rPr>
          <w:color w:val="000000" w:themeColor="text1"/>
          <w:u w:val="single"/>
          <w:lang w:eastAsia="ru-RU"/>
        </w:rPr>
        <w:t xml:space="preserve">2</w:t>
      </w:r>
      <w:r>
        <w:rPr>
          <w:color w:val="000000" w:themeColor="text1"/>
          <w:u w:val="single"/>
          <w:lang w:eastAsia="ru-RU"/>
        </w:rPr>
        <w:t xml:space="preserve"> тыс. рублей в рамках субсидии на обеспечение мероприятий по</w:t>
      </w:r>
      <w:r>
        <w:rPr>
          <w:color w:val="000000" w:themeColor="text1"/>
          <w:u w:val="single"/>
          <w:lang w:eastAsia="ru-RU"/>
        </w:rPr>
        <w:t xml:space="preserve"> </w:t>
      </w:r>
      <w:r>
        <w:rPr>
          <w:color w:val="000000" w:themeColor="text1"/>
          <w:u w:val="single"/>
          <w:lang w:eastAsia="ru-RU"/>
        </w:rPr>
        <w:t xml:space="preserve">развитию жилищного строительства на авансирование МК</w:t>
      </w:r>
      <w:r>
        <w:rPr>
          <w:color w:val="000000" w:themeColor="text1"/>
          <w:lang w:eastAsia="ru-RU"/>
        </w:rPr>
        <w:t xml:space="preserve">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63 437,8</w:t>
      </w:r>
      <w:r>
        <w:rPr>
          <w:color w:val="000000" w:themeColor="text1"/>
          <w:lang w:eastAsia="ru-RU"/>
        </w:rPr>
        <w:t xml:space="preserve"> тыс. рублей на приобретение восьми жилых домов                                                 в муниципальную собственность, на территории с</w:t>
      </w:r>
      <w:r>
        <w:rPr>
          <w:color w:val="000000" w:themeColor="text1"/>
          <w:lang w:eastAsia="ru-RU"/>
        </w:rPr>
        <w:t xml:space="preserve">. </w:t>
      </w:r>
      <w:r>
        <w:rPr>
          <w:color w:val="000000" w:themeColor="text1"/>
          <w:lang w:eastAsia="ru-RU"/>
        </w:rPr>
        <w:t xml:space="preserve">Нешкан </w:t>
      </w:r>
      <w:r>
        <w:rPr>
          <w:color w:val="000000" w:themeColor="text1"/>
        </w:rPr>
        <w:t xml:space="preserve">общей стоимостью 115 520,0 тыс. рублей и сроком исполнения 01.12.2026;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40 733,5 тыс. рублей на приобретение пяти жилых домов </w:t>
      </w:r>
      <w:r>
        <w:rPr>
          <w:color w:val="000000" w:themeColor="text1"/>
          <w:lang w:eastAsia="ru-RU"/>
        </w:rPr>
        <w:t xml:space="preserve">в муниципальную собственность, на территории с</w:t>
      </w:r>
      <w:r>
        <w:rPr>
          <w:color w:val="000000" w:themeColor="text1"/>
          <w:lang w:eastAsia="ru-RU"/>
        </w:rPr>
        <w:t xml:space="preserve">. </w:t>
      </w:r>
      <w:r>
        <w:rPr>
          <w:color w:val="000000" w:themeColor="text1"/>
          <w:lang w:eastAsia="ru-RU"/>
        </w:rPr>
        <w:t xml:space="preserve">Нешкан </w:t>
      </w:r>
      <w:r>
        <w:rPr>
          <w:color w:val="000000" w:themeColor="text1"/>
        </w:rPr>
        <w:t xml:space="preserve">общей стоимостью 102 037,6 тыс. рублей и сроком исполнения 01.12.2026;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37 355,2 тыс. рублей на приобретение пяти жилых домов </w:t>
      </w:r>
      <w:r>
        <w:rPr>
          <w:color w:val="000000" w:themeColor="text1"/>
          <w:lang w:eastAsia="ru-RU"/>
        </w:rPr>
        <w:t xml:space="preserve">в муниципальную собственность, на территории с</w:t>
      </w:r>
      <w:r>
        <w:rPr>
          <w:color w:val="000000" w:themeColor="text1"/>
          <w:lang w:eastAsia="ru-RU"/>
        </w:rPr>
        <w:t xml:space="preserve">. </w:t>
      </w:r>
      <w:r>
        <w:rPr>
          <w:color w:val="000000" w:themeColor="text1"/>
          <w:lang w:eastAsia="ru-RU"/>
        </w:rPr>
        <w:t xml:space="preserve">Нешкан </w:t>
      </w:r>
      <w:r>
        <w:rPr>
          <w:color w:val="000000" w:themeColor="text1"/>
        </w:rPr>
        <w:t xml:space="preserve">общей стоимостью 93 575,0 тыс. рублей и сроком исполнения 01.12.2026;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49 976,2 тыс. рублей на приобретение десяти жилых домов </w:t>
      </w:r>
      <w:r>
        <w:rPr>
          <w:color w:val="000000" w:themeColor="text1"/>
          <w:lang w:eastAsia="ru-RU"/>
        </w:rPr>
        <w:t xml:space="preserve">у застройщика на территории с</w:t>
      </w:r>
      <w:r>
        <w:rPr>
          <w:color w:val="000000" w:themeColor="text1"/>
          <w:lang w:eastAsia="ru-RU"/>
        </w:rPr>
        <w:t xml:space="preserve">. </w:t>
      </w:r>
      <w:r>
        <w:rPr>
          <w:color w:val="000000" w:themeColor="text1"/>
          <w:lang w:eastAsia="ru-RU"/>
        </w:rPr>
        <w:t xml:space="preserve">Энурмино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</w:rPr>
        <w:t xml:space="preserve">общей стоимостью 267 520,0 тыс. рублей и сроком исполнения 01.12.2026</w:t>
      </w:r>
      <w:r>
        <w:rPr>
          <w:color w:val="000000" w:themeColor="text1"/>
        </w:rPr>
        <w:t xml:space="preserve">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79 720,2 </w:t>
      </w:r>
      <w:r>
        <w:rPr>
          <w:color w:val="000000" w:themeColor="text1"/>
          <w:lang w:eastAsia="ru-RU"/>
        </w:rPr>
        <w:t xml:space="preserve">тыс. рублей на приобретение 19 жилых домов у застройщика на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территории с</w:t>
      </w:r>
      <w:r>
        <w:rPr>
          <w:color w:val="000000" w:themeColor="text1"/>
          <w:lang w:eastAsia="ru-RU"/>
        </w:rPr>
        <w:t xml:space="preserve">. </w:t>
      </w:r>
      <w:r>
        <w:rPr>
          <w:color w:val="000000" w:themeColor="text1"/>
          <w:lang w:eastAsia="ru-RU"/>
        </w:rPr>
        <w:t xml:space="preserve">И</w:t>
      </w:r>
      <w:r>
        <w:rPr>
          <w:color w:val="000000" w:themeColor="text1"/>
          <w:lang w:eastAsia="ru-RU"/>
        </w:rPr>
        <w:t xml:space="preserve">нчоун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</w:rPr>
        <w:t xml:space="preserve">общей стоимостью 492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480,0 тыс. рублей и сроком исполнения 01.12.2026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Департаментом строительства зачтено частичное выполнение работ в сумме 79 720,2 тыс. рублей</w:t>
      </w:r>
      <w:r>
        <w:rPr>
          <w:color w:val="000000" w:themeColor="text1"/>
        </w:rPr>
        <w:t xml:space="preserve">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38 375,3 </w:t>
      </w:r>
      <w:r>
        <w:rPr>
          <w:color w:val="000000" w:themeColor="text1"/>
          <w:lang w:eastAsia="ru-RU"/>
        </w:rPr>
        <w:t xml:space="preserve">тыс. рублей </w:t>
      </w:r>
      <w:r>
        <w:rPr>
          <w:color w:val="000000" w:themeColor="text1"/>
          <w:lang w:eastAsia="ru-RU"/>
        </w:rPr>
        <w:t xml:space="preserve">числятся за </w:t>
      </w:r>
      <w:r>
        <w:rPr>
          <w:color w:val="000000" w:themeColor="text1"/>
        </w:rPr>
        <w:t xml:space="preserve">Администрацией Провиденского МО, как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подтвержденная потребность использования средств в 2026 году, </w:t>
      </w:r>
      <w:r>
        <w:rPr>
          <w:color w:val="000000" w:themeColor="text1"/>
        </w:rPr>
        <w:t xml:space="preserve">на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строительство 26 жилых помещений в 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Нунлигран площадью не менее 1 163,6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кв.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м общей стоимостью 335 116,8 тыс. рублей и сроком исполнения  01.09.2024.</w:t>
      </w:r>
      <w:r>
        <w:rPr>
          <w:color w:val="000000" w:themeColor="text1"/>
        </w:rPr>
        <w:t xml:space="preserve"> По состоянию на 1 января 2026 года сумма, перечисленных </w:t>
      </w:r>
      <w:r>
        <w:rPr>
          <w:color w:val="000000" w:themeColor="text1"/>
        </w:rPr>
        <w:t xml:space="preserve">п</w:t>
      </w:r>
      <w:r>
        <w:rPr>
          <w:color w:val="000000" w:themeColor="text1"/>
        </w:rPr>
        <w:t xml:space="preserve">одрядчику средств окружного бюджета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составила 243 661,3 тыс. рублей, </w:t>
      </w:r>
      <w:r>
        <w:rPr>
          <w:color w:val="000000" w:themeColor="text1"/>
        </w:rPr>
        <w:t xml:space="preserve">из них 214 639,3 тыс. рублей авансовые платежи 2022-202</w:t>
      </w:r>
      <w:r>
        <w:rPr>
          <w:color w:val="000000" w:themeColor="text1"/>
        </w:rPr>
        <w:t xml:space="preserve">4</w:t>
      </w:r>
      <w:r>
        <w:rPr>
          <w:color w:val="000000" w:themeColor="text1"/>
        </w:rPr>
        <w:t xml:space="preserve"> годов. Департаментом строительства зачтено частичное выполнение работ в сумме 142 854,5 тыс. рублей, из них 73 343,3 тыс. рублей в 2025 году.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По состоянию на 1 </w:t>
      </w:r>
      <w:r>
        <w:rPr>
          <w:color w:val="000000" w:themeColor="text1"/>
        </w:rPr>
        <w:t xml:space="preserve">января</w:t>
      </w:r>
      <w:r>
        <w:rPr>
          <w:color w:val="000000" w:themeColor="text1"/>
        </w:rPr>
        <w:t xml:space="preserve"> 2025 года в рамках реализации мероприятий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дебиторской задолженности </w:t>
      </w:r>
      <w:r>
        <w:rPr>
          <w:color w:val="000000" w:themeColor="text1"/>
        </w:rPr>
        <w:t xml:space="preserve">Департамента строительства </w:t>
      </w:r>
      <w:r>
        <w:rPr>
          <w:color w:val="000000" w:themeColor="text1"/>
        </w:rPr>
        <w:t xml:space="preserve">числятся бюджетные средства в объеме </w:t>
      </w:r>
      <w:r>
        <w:rPr>
          <w:color w:val="000000" w:themeColor="text1"/>
        </w:rPr>
        <w:t xml:space="preserve">274 987,3</w:t>
      </w:r>
      <w:r>
        <w:rPr>
          <w:color w:val="000000" w:themeColor="text1"/>
        </w:rPr>
        <w:t xml:space="preserve"> тыс. рублей, из них </w:t>
      </w:r>
      <w:r>
        <w:rPr>
          <w:color w:val="000000" w:themeColor="text1"/>
        </w:rPr>
        <w:t xml:space="preserve">в рамках </w:t>
      </w:r>
      <w:r>
        <w:rPr>
          <w:color w:val="000000" w:themeColor="text1"/>
        </w:rPr>
        <w:t xml:space="preserve">100 806,8 тыс. рублей </w:t>
      </w:r>
      <w:r>
        <w:rPr>
          <w:color w:val="000000" w:themeColor="text1"/>
        </w:rPr>
        <w:t xml:space="preserve">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рамках </w:t>
      </w:r>
      <w:r>
        <w:rPr>
          <w:color w:val="000000" w:themeColor="text1"/>
        </w:rPr>
        <w:t xml:space="preserve">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</w:rPr>
        <w:t xml:space="preserve"> «Жилье»</w:t>
      </w:r>
      <w:r>
        <w:rPr>
          <w:color w:val="000000" w:themeColor="text1"/>
        </w:rPr>
        <w:t xml:space="preserve">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100 806,8</w:t>
      </w:r>
      <w:r>
        <w:rPr>
          <w:color w:val="000000" w:themeColor="text1"/>
        </w:rPr>
        <w:t xml:space="preserve"> тыс. рублей </w:t>
      </w:r>
      <w:r>
        <w:rPr>
          <w:color w:val="000000" w:themeColor="text1"/>
        </w:rPr>
        <w:t xml:space="preserve">в рамках </w:t>
      </w:r>
      <w:r>
        <w:rPr>
          <w:color w:val="000000" w:themeColor="text1"/>
        </w:rPr>
        <w:t xml:space="preserve">предоставленной </w:t>
      </w:r>
      <w:r>
        <w:rPr>
          <w:color w:val="000000" w:themeColor="text1"/>
        </w:rPr>
        <w:t xml:space="preserve">субсидии</w:t>
      </w:r>
      <w:r>
        <w:rPr>
          <w:color w:val="000000" w:themeColor="text1"/>
        </w:rPr>
        <w:t xml:space="preserve"> Администрации Провиденского </w:t>
      </w:r>
      <w:r>
        <w:rPr>
          <w:color w:val="000000" w:themeColor="text1"/>
        </w:rPr>
        <w:t xml:space="preserve">М</w:t>
      </w:r>
      <w:r>
        <w:rPr>
          <w:color w:val="000000" w:themeColor="text1"/>
        </w:rPr>
        <w:t xml:space="preserve">О на строительство 26 жилых помещений </w:t>
      </w:r>
      <w:r>
        <w:rPr>
          <w:color w:val="000000" w:themeColor="text1"/>
        </w:rPr>
        <w:t xml:space="preserve">в 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Нунлигран площадью не менее 1 163,6 кв.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м общей стоимостью </w:t>
      </w:r>
      <w:r>
        <w:rPr>
          <w:color w:val="000000" w:themeColor="text1"/>
        </w:rPr>
        <w:t xml:space="preserve">335 116,8 тыс. рублей и сроком исполнения 01.09.2024;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174 180,5 тыс. рублей в рамках предоставленной субсидии Администрации Чукотского МР, из них: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46 115,6 тыс. рублей аванс </w:t>
      </w:r>
      <w:r>
        <w:rPr>
          <w:color w:val="000000" w:themeColor="text1"/>
          <w:lang w:eastAsia="ru-RU"/>
        </w:rPr>
        <w:t xml:space="preserve">на приобретение восьми жилых домов                                                 в муниципальную собственность, на территории с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</w:rPr>
        <w:t xml:space="preserve"> Нешкан </w:t>
      </w:r>
      <w:r>
        <w:rPr>
          <w:color w:val="000000" w:themeColor="text1"/>
        </w:rPr>
        <w:t xml:space="preserve">общей стоимостью 115 520,0 тыс. рублей и сроком исполнения 01.12.2026. По состоянию </w:t>
      </w:r>
      <w:r>
        <w:rPr>
          <w:color w:val="000000" w:themeColor="text1"/>
        </w:rPr>
        <w:t xml:space="preserve">на 1 января 2026 года сумма, перечисленных </w:t>
      </w:r>
      <w:r>
        <w:rPr>
          <w:color w:val="000000" w:themeColor="text1"/>
        </w:rPr>
        <w:t xml:space="preserve">п</w:t>
      </w:r>
      <w:r>
        <w:rPr>
          <w:color w:val="000000" w:themeColor="text1"/>
        </w:rPr>
        <w:t xml:space="preserve">одрядчику, средств окружного бюджета составила 63 437,8 тыс. рублей. Департаментом строительства зачтено частичное выполнение работ в сумме 17 322,2 тыс. рублей</w:t>
      </w:r>
      <w:r>
        <w:rPr>
          <w:color w:val="000000" w:themeColor="text1"/>
        </w:rPr>
        <w:t xml:space="preserve">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40 733,5 тыс. рублей </w:t>
      </w:r>
      <w:r>
        <w:rPr>
          <w:color w:val="000000" w:themeColor="text1"/>
          <w:lang w:eastAsia="ru-RU"/>
        </w:rPr>
        <w:t xml:space="preserve">на приобретение пяти жилых домов </w:t>
      </w:r>
      <w:r>
        <w:rPr>
          <w:color w:val="000000" w:themeColor="text1"/>
          <w:lang w:eastAsia="ru-RU"/>
        </w:rPr>
        <w:t xml:space="preserve">в муниципальную собственность, на территории с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</w:rPr>
        <w:t xml:space="preserve"> Нешкан </w:t>
      </w:r>
      <w:r>
        <w:rPr>
          <w:color w:val="000000" w:themeColor="text1"/>
        </w:rPr>
        <w:t xml:space="preserve">общей стоимостью 102 037,6 тыс. рублей и сроком исполнения 01.12.2026;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37 355,2 тыс. рублей </w:t>
      </w:r>
      <w:r>
        <w:rPr>
          <w:color w:val="000000" w:themeColor="text1"/>
          <w:lang w:eastAsia="ru-RU"/>
        </w:rPr>
        <w:t xml:space="preserve">на приобретение пяти жилых домов </w:t>
      </w:r>
      <w:r>
        <w:rPr>
          <w:color w:val="000000" w:themeColor="text1"/>
          <w:lang w:eastAsia="ru-RU"/>
        </w:rPr>
        <w:t xml:space="preserve">в муниципальную собственность, на территории с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</w:rPr>
        <w:t xml:space="preserve"> Нешкан </w:t>
      </w:r>
      <w:r>
        <w:rPr>
          <w:color w:val="000000" w:themeColor="text1"/>
        </w:rPr>
        <w:t xml:space="preserve">общей стоимостью 93 575,0 тыс. рублей и сроком исполнения 01.12.2026;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49 976,2 тыс. рублей </w:t>
      </w:r>
      <w:r>
        <w:rPr>
          <w:color w:val="000000" w:themeColor="text1"/>
          <w:lang w:eastAsia="ru-RU"/>
        </w:rPr>
        <w:t xml:space="preserve">на приобретение десяти жилых домов </w:t>
      </w:r>
      <w:r>
        <w:rPr>
          <w:color w:val="000000" w:themeColor="text1"/>
          <w:lang w:eastAsia="ru-RU"/>
        </w:rPr>
        <w:t xml:space="preserve">у застройщика на территории с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Энурмино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</w:rPr>
        <w:t xml:space="preserve">общей стоимостью 267 520,0 тыс. рублей и сроком исполнения 01.12.2026.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rFonts w:eastAsia="Calibri"/>
          <w:color w:val="000000" w:themeColor="text1"/>
        </w:rPr>
        <w:t xml:space="preserve">Также, </w:t>
      </w:r>
      <w:r>
        <w:rPr>
          <w:rFonts w:eastAsia="Calibri"/>
          <w:color w:val="000000" w:themeColor="text1"/>
        </w:rPr>
        <w:t xml:space="preserve">в отчетном периоде в рамках </w:t>
      </w:r>
      <w:r>
        <w:rPr>
          <w:rFonts w:eastAsia="Calibri"/>
          <w:color w:val="000000" w:themeColor="text1"/>
        </w:rPr>
        <w:t xml:space="preserve">исполнени</w:t>
      </w:r>
      <w:r>
        <w:rPr>
          <w:rFonts w:eastAsia="Calibri"/>
          <w:color w:val="000000" w:themeColor="text1"/>
        </w:rPr>
        <w:t xml:space="preserve">я</w:t>
      </w:r>
      <w:r>
        <w:rPr>
          <w:rFonts w:eastAsia="Calibri"/>
          <w:color w:val="000000" w:themeColor="text1"/>
        </w:rPr>
        <w:t xml:space="preserve"> МК</w:t>
      </w:r>
      <w:r>
        <w:rPr>
          <w:rFonts w:eastAsia="Calibri"/>
          <w:color w:val="000000" w:themeColor="text1"/>
        </w:rPr>
        <w:t xml:space="preserve"> </w:t>
      </w:r>
      <w:r>
        <w:rPr>
          <w:color w:val="000000" w:themeColor="text1"/>
        </w:rPr>
        <w:t xml:space="preserve">общей стоимостью 58 585,5 тыс. рублей и сроком исполнения 01.12.2021 на выкуп 7 жилых помещений у застройщика в 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Янракыннот общей площадью не менее 314 кв.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м, </w:t>
      </w:r>
      <w:r>
        <w:rPr>
          <w:color w:val="000000" w:themeColor="text1"/>
        </w:rPr>
        <w:t xml:space="preserve">зачтена стоимость исполненных подрядчиком работ объеме </w:t>
      </w:r>
      <w:r>
        <w:rPr>
          <w:color w:val="000000" w:themeColor="text1"/>
        </w:rPr>
        <w:t xml:space="preserve">44 361,2 тыс. рублей в рамках </w:t>
      </w:r>
      <w:r>
        <w:rPr>
          <w:color w:val="000000" w:themeColor="text1"/>
        </w:rPr>
        <w:t xml:space="preserve">предоставлен</w:t>
      </w:r>
      <w:r>
        <w:rPr>
          <w:color w:val="000000" w:themeColor="text1"/>
        </w:rPr>
        <w:t xml:space="preserve">ной</w:t>
      </w:r>
      <w:r>
        <w:rPr>
          <w:color w:val="000000" w:themeColor="text1"/>
        </w:rPr>
        <w:t xml:space="preserve"> субсиди</w:t>
      </w:r>
      <w:r>
        <w:rPr>
          <w:color w:val="000000" w:themeColor="text1"/>
        </w:rPr>
        <w:t xml:space="preserve">и 2021 года </w:t>
      </w:r>
      <w:r>
        <w:rPr>
          <w:color w:val="000000" w:themeColor="text1"/>
        </w:rPr>
        <w:t xml:space="preserve">Администрации Провиденского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ГО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потребность</w:t>
      </w:r>
      <w:r>
        <w:rPr>
          <w:color w:val="000000" w:themeColor="text1"/>
        </w:rPr>
        <w:t xml:space="preserve"> использования которой подтверждена</w:t>
      </w:r>
      <w:r>
        <w:rPr>
          <w:color w:val="000000" w:themeColor="text1"/>
        </w:rPr>
        <w:t xml:space="preserve"> в 2025 году.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Фактическое выполнение мероприятий по субсидии в отчетном периоде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составило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214 746,9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тыс. рублей,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них 117 704,4 тыс. рублей за счет авансовых платежей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-2024 годов в рамках реализации НП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Жилье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u w:val="single"/>
          <w:lang w:eastAsia="ru-RU"/>
        </w:rPr>
      </w:pPr>
      <w:r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  <w:lang w:eastAsia="ru-RU"/>
        </w:rPr>
        <w:t xml:space="preserve">- </w:t>
      </w:r>
      <w:r>
        <w:rPr>
          <w:color w:val="000000" w:themeColor="text1"/>
          <w:u w:val="single"/>
          <w:lang w:eastAsia="ru-RU"/>
        </w:rPr>
        <w:t xml:space="preserve">294 586,5</w:t>
      </w:r>
      <w:r>
        <w:rPr>
          <w:color w:val="000000" w:themeColor="text1"/>
          <w:u w:val="single"/>
          <w:lang w:eastAsia="ru-RU"/>
        </w:rPr>
        <w:t xml:space="preserve"> тыс. рублей субсидии на обеспечение устойчивого сокращения непригодного для проживания жилого фонда на оплату исполненных подрядчиком обязательств:</w:t>
      </w:r>
      <w:r>
        <w:rPr>
          <w:color w:val="000000" w:themeColor="text1"/>
          <w:u w:val="single"/>
          <w:lang w:eastAsia="ru-RU"/>
        </w:rPr>
      </w:r>
      <w:r>
        <w:rPr>
          <w:color w:val="000000" w:themeColor="text1"/>
          <w:u w:val="single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24 108,3 тыс. рублей </w:t>
      </w:r>
      <w:r>
        <w:rPr>
          <w:color w:val="000000" w:themeColor="text1"/>
        </w:rPr>
        <w:t xml:space="preserve">на выполнение работ по разработке проектно-сметной документации, инженерным изысканиям и строительству жилого дома в 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Ваеги</w:t>
      </w:r>
      <w:r>
        <w:rPr>
          <w:color w:val="000000" w:themeColor="text1"/>
        </w:rPr>
        <w:t xml:space="preserve">, по двум МК общей стоимостью 38 886,8 тыс. рублей;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134 973,0 тыс. рублей </w:t>
      </w:r>
      <w:r>
        <w:rPr>
          <w:color w:val="000000" w:themeColor="text1"/>
        </w:rPr>
        <w:t xml:space="preserve">на выкуп 20 жилых помещений в 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Анюйск площадью не менее 1 024 кв.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м в рамках двух МК общей стоимостью 306 176,0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тыс. рублей;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50 314,6 тыс. рублей </w:t>
      </w:r>
      <w:r>
        <w:rPr>
          <w:color w:val="000000" w:themeColor="text1"/>
        </w:rPr>
        <w:t xml:space="preserve">на приобретение жилых помещений у застройщика                  в многоквартирных домах на территории 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Анюйск общей стоимостью                   272 000,0 тыс. рублей</w:t>
      </w:r>
      <w:r>
        <w:rPr>
          <w:color w:val="000000" w:themeColor="text1"/>
        </w:rPr>
        <w:t xml:space="preserve">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85 190,6 </w:t>
      </w:r>
      <w:r>
        <w:rPr>
          <w:color w:val="000000" w:themeColor="text1"/>
          <w:lang w:eastAsia="ru-RU"/>
        </w:rPr>
        <w:t xml:space="preserve">тыс. рублей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</w:rPr>
        <w:t xml:space="preserve">на приобретение 24 квартир в 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Снежное </w:t>
      </w:r>
      <w:r>
        <w:rPr>
          <w:color w:val="000000" w:themeColor="text1"/>
        </w:rPr>
        <w:t xml:space="preserve">не менее 1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120 кв.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м общей стоимостью 332 176,9 тыс. рублей и сроком исполнения 01.12.2024</w:t>
      </w:r>
      <w:r>
        <w:rPr>
          <w:color w:val="000000" w:themeColor="text1"/>
        </w:rPr>
        <w:t xml:space="preserve">, которые с учетом средств </w:t>
      </w:r>
      <w:r>
        <w:rPr>
          <w:color w:val="000000" w:themeColor="text1"/>
        </w:rPr>
        <w:t xml:space="preserve">2024 года</w:t>
      </w:r>
      <w:r>
        <w:rPr>
          <w:color w:val="000000" w:themeColor="text1"/>
        </w:rPr>
        <w:t xml:space="preserve"> 83 372,4 тыс. рублей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числятся за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</w:rPr>
        <w:t xml:space="preserve">Администрацией Анадырского МР, как подтвержденная потребность использования средств в 2026 году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По состоянию на 1 </w:t>
      </w:r>
      <w:r>
        <w:rPr>
          <w:color w:val="000000" w:themeColor="text1"/>
        </w:rPr>
        <w:t xml:space="preserve">января</w:t>
      </w:r>
      <w:r>
        <w:rPr>
          <w:color w:val="000000" w:themeColor="text1"/>
        </w:rPr>
        <w:t xml:space="preserve"> 202</w:t>
      </w:r>
      <w:r>
        <w:rPr>
          <w:color w:val="000000" w:themeColor="text1"/>
        </w:rPr>
        <w:t xml:space="preserve">6</w:t>
      </w:r>
      <w:r>
        <w:rPr>
          <w:color w:val="000000" w:themeColor="text1"/>
        </w:rPr>
        <w:t xml:space="preserve"> года по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данным Департамента строительства зачтено частичное выполнение обязательств в сумме 161 952,8 тыс. рублей (средства 2021-2022 годов), </w:t>
      </w:r>
      <w:r>
        <w:rPr>
          <w:color w:val="000000" w:themeColor="text1"/>
        </w:rPr>
        <w:t xml:space="preserve">а также средства в объеме 3 305,2 тыс. рублей, числящиеся по состоянию </w:t>
      </w:r>
      <w:r>
        <w:rPr>
          <w:color w:val="000000" w:themeColor="text1"/>
        </w:rPr>
        <w:t xml:space="preserve">на 1 января 2025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года в кредиторской задолженности Департамента строительства. По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данным Департамента строительства на основании извещения Администрации Анадырского М</w:t>
      </w:r>
      <w:r>
        <w:rPr>
          <w:color w:val="000000" w:themeColor="text1"/>
        </w:rPr>
        <w:t xml:space="preserve">О от</w:t>
      </w:r>
      <w:r>
        <w:rPr>
          <w:color w:val="000000" w:themeColor="text1"/>
        </w:rPr>
        <w:t xml:space="preserve"> 31.03.2026 зачтен</w:t>
      </w:r>
      <w:r>
        <w:rPr>
          <w:color w:val="000000" w:themeColor="text1"/>
        </w:rPr>
        <w:t xml:space="preserve">а</w:t>
      </w:r>
      <w:r>
        <w:rPr>
          <w:color w:val="000000" w:themeColor="text1"/>
        </w:rPr>
        <w:t xml:space="preserve"> стоимост</w:t>
      </w:r>
      <w:r>
        <w:rPr>
          <w:color w:val="000000" w:themeColor="text1"/>
        </w:rPr>
        <w:t xml:space="preserve">ь</w:t>
      </w:r>
      <w:r>
        <w:rPr>
          <w:color w:val="000000" w:themeColor="text1"/>
        </w:rPr>
        <w:t xml:space="preserve"> исполненных подрядчиком работ в объеме 165 257,7 тыс. рублей.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По состоянию на 1 </w:t>
      </w:r>
      <w:r>
        <w:rPr>
          <w:color w:val="000000" w:themeColor="text1"/>
        </w:rPr>
        <w:t xml:space="preserve">января</w:t>
      </w:r>
      <w:r>
        <w:rPr>
          <w:color w:val="000000" w:themeColor="text1"/>
        </w:rPr>
        <w:t xml:space="preserve"> 202</w:t>
      </w:r>
      <w:r>
        <w:rPr>
          <w:color w:val="000000" w:themeColor="text1"/>
        </w:rPr>
        <w:t xml:space="preserve">6</w:t>
      </w:r>
      <w:r>
        <w:rPr>
          <w:color w:val="000000" w:themeColor="text1"/>
        </w:rPr>
        <w:t xml:space="preserve"> года в рамках реализации мероприятий в дебиторской задолженности </w:t>
      </w:r>
      <w:r>
        <w:rPr>
          <w:color w:val="000000" w:themeColor="text1"/>
        </w:rPr>
        <w:t xml:space="preserve">Департамента строительства </w:t>
      </w:r>
      <w:r>
        <w:rPr>
          <w:color w:val="000000" w:themeColor="text1"/>
        </w:rPr>
        <w:t xml:space="preserve">числятся бюджетные средства </w:t>
      </w:r>
      <w:r>
        <w:rPr>
          <w:color w:val="000000" w:themeColor="text1"/>
        </w:rPr>
        <w:t xml:space="preserve">в объеме 25 437,5 тыс. рублей в 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</w:rPr>
        <w:t xml:space="preserve"> «Обеспечение устойчивого сокращения непригодного для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проживания жилищного фонда», из них: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2 006,0 тыс. </w:t>
      </w:r>
      <w:r>
        <w:rPr>
          <w:color w:val="000000" w:themeColor="text1"/>
        </w:rPr>
        <w:t xml:space="preserve">рублей перечисленные средства 2023 года Администрации Анадырского МР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на</w:t>
      </w:r>
      <w:r>
        <w:rPr>
          <w:color w:val="000000" w:themeColor="text1"/>
        </w:rPr>
        <w:t xml:space="preserve"> аванс </w:t>
      </w:r>
      <w:r>
        <w:rPr>
          <w:color w:val="000000" w:themeColor="text1"/>
        </w:rPr>
        <w:t xml:space="preserve">по</w:t>
      </w:r>
      <w:r>
        <w:rPr>
          <w:color w:val="000000" w:themeColor="text1"/>
        </w:rPr>
        <w:t xml:space="preserve"> строительств</w:t>
      </w:r>
      <w:r>
        <w:rPr>
          <w:color w:val="000000" w:themeColor="text1"/>
        </w:rPr>
        <w:t xml:space="preserve">у</w:t>
      </w:r>
      <w:r>
        <w:rPr>
          <w:color w:val="000000" w:themeColor="text1"/>
        </w:rPr>
        <w:t xml:space="preserve"> многоквартирного дома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Алькатваам</w:t>
      </w:r>
      <w:r>
        <w:rPr>
          <w:color w:val="000000" w:themeColor="text1"/>
        </w:rPr>
        <w:t xml:space="preserve"> общей площадью жилого помещения, не менее 380,0 кв.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м,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рамках МК №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12 от 31.07.2023 общей стоимостью 83 000,0 тыс. рублей.  По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данным ЕИС контракт расторгнут 08.10.2024</w:t>
      </w:r>
      <w:r>
        <w:rPr>
          <w:color w:val="000000" w:themeColor="text1"/>
        </w:rPr>
        <w:t xml:space="preserve">, вопрос возврата средств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бюджет находится на </w:t>
      </w:r>
      <w:r>
        <w:rPr>
          <w:color w:val="000000" w:themeColor="text1"/>
        </w:rPr>
        <w:t xml:space="preserve">рассмотрении</w:t>
      </w:r>
      <w:r>
        <w:rPr>
          <w:color w:val="000000" w:themeColor="text1"/>
        </w:rPr>
        <w:t xml:space="preserve"> в судебном порядке;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23 431,4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тыс. рублей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перечисленные средства 2022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Провиденскому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приобретение 9 жилых помещений в 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Янракыннот, площадью не менее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438 кв.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м, стоимостью 78 183,0 тыс. рублей и сроком исполнения 31.12.2024.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 ЕИС контракт расторгнут 09.12.2025.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Фактическое выполнение мероприятий по субсидии в отчетном периоде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составило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486 256,8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тыс. рублей,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них 27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6 860,9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 за счет авансовых платежей 2022-2024 годов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«Обеспечение устойчивого сокращения непригодного для проживания жилищного фонда».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2) В рамках реализации </w:t>
      </w:r>
      <w:r>
        <w:rPr>
          <w:b/>
          <w:color w:val="000000" w:themeColor="text1"/>
        </w:rPr>
        <w:t xml:space="preserve">РП «Модернизация коммунальной инфраструктуры» </w:t>
      </w:r>
      <w:r>
        <w:rPr>
          <w:color w:val="000000" w:themeColor="text1"/>
          <w:lang w:eastAsia="ru-RU"/>
        </w:rPr>
        <w:t xml:space="preserve">в отчетном периоде направлено 207 438,4 тыс. рублей </w:t>
      </w:r>
      <w:r>
        <w:rPr>
          <w:color w:val="000000" w:themeColor="text1"/>
        </w:rPr>
        <w:t xml:space="preserve">(из них 131 433,7 тыс. рублей – средства федерального бюджета) или </w:t>
      </w:r>
      <w:r>
        <w:rPr>
          <w:color w:val="000000" w:themeColor="text1"/>
        </w:rPr>
        <w:t xml:space="preserve">100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% от утвержденных сводной бюджетной росписью ассигнований</w:t>
      </w:r>
      <w:r>
        <w:rPr>
          <w:color w:val="000000" w:themeColor="text1"/>
        </w:rPr>
        <w:t xml:space="preserve">, из них: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204 638,4 тыс. рублей</w:t>
      </w:r>
      <w:r>
        <w:rPr>
          <w:color w:val="000000" w:themeColor="text1"/>
        </w:rPr>
        <w:t xml:space="preserve"> на выполнение работ «Капитальный ремонт магистральных сетей горячего и холодного водоснабжения от здания </w:t>
      </w:r>
      <w:r>
        <w:rPr>
          <w:color w:val="000000" w:themeColor="text1"/>
        </w:rPr>
        <w:t xml:space="preserve">ЦТП-4 до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ЦРП, г. Билибино Чукотский автономный округ», предусмотренный договором №20 кап-К/2025 от 24.03.2025 общей стоимостью </w:t>
      </w:r>
      <w:r>
        <w:rPr>
          <w:color w:val="000000" w:themeColor="text1"/>
        </w:rPr>
        <w:t xml:space="preserve">595 917,6 тыс. рублей и сроком исполнения 10.11.2027.</w:t>
      </w:r>
      <w:r>
        <w:rPr>
          <w:color w:val="000000" w:themeColor="text1"/>
        </w:rPr>
        <w:t xml:space="preserve"> Работы по 1 этапу завершены в полном объёме в установленный срок. Выполнена замена 1,3 км тепловых сетей</w:t>
      </w:r>
      <w:r>
        <w:rPr>
          <w:color w:val="000000" w:themeColor="text1"/>
        </w:rPr>
        <w:t xml:space="preserve">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2 800,0 тыс. рублей на проведение строительного контроля в рамках договора </w:t>
      </w:r>
      <w:r>
        <w:rPr>
          <w:color w:val="000000" w:themeColor="text1"/>
        </w:rPr>
        <w:t xml:space="preserve">№01/2025СК от 02.06.2025.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Фактическое </w:t>
      </w:r>
      <w:r>
        <w:rPr>
          <w:bCs/>
          <w:iCs/>
          <w:color w:val="000000" w:themeColor="text1"/>
        </w:rPr>
        <w:t xml:space="preserve">выполнение составило 100</w:t>
      </w:r>
      <w:r>
        <w:rPr>
          <w:bCs/>
          <w:iCs/>
          <w:color w:val="000000" w:themeColor="text1"/>
        </w:rPr>
        <w:t xml:space="preserve"> </w:t>
      </w:r>
      <w:r>
        <w:rPr>
          <w:color w:val="000000" w:themeColor="text1"/>
        </w:rPr>
        <w:t xml:space="preserve">% от направленного финансирования.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</w:rPr>
        <w:t xml:space="preserve">3) На реализацию мероприятий </w:t>
      </w:r>
      <w:r>
        <w:rPr>
          <w:b/>
          <w:color w:val="000000" w:themeColor="text1"/>
        </w:rPr>
        <w:t xml:space="preserve">РП «</w:t>
      </w:r>
      <w:r>
        <w:rPr>
          <w:rFonts w:eastAsia="Times New Roman"/>
          <w:b/>
          <w:color w:val="000000" w:themeColor="text1"/>
          <w:lang w:eastAsia="ru-RU"/>
        </w:rPr>
        <w:t xml:space="preserve">Формирование комфортной городской среды</w:t>
      </w:r>
      <w:r>
        <w:rPr>
          <w:b/>
          <w:color w:val="000000" w:themeColor="text1"/>
        </w:rPr>
        <w:t xml:space="preserve">»</w:t>
      </w:r>
      <w:r>
        <w:rPr>
          <w:color w:val="000000" w:themeColor="text1"/>
        </w:rPr>
        <w:t xml:space="preserve"> направлены бюджетные </w:t>
      </w:r>
      <w:r>
        <w:rPr>
          <w:color w:val="000000" w:themeColor="text1"/>
          <w:lang w:eastAsia="ru-RU"/>
        </w:rPr>
        <w:t xml:space="preserve">ассигнования в сумме </w:t>
      </w:r>
      <w:r>
        <w:rPr>
          <w:color w:val="000000" w:themeColor="text1"/>
          <w:lang w:eastAsia="ru-RU"/>
        </w:rPr>
        <w:t xml:space="preserve">454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545,5 тыс. рублей (из них 450 000,0 тыс. рублей средства федерального бюджета) или 100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% </w:t>
      </w:r>
      <w:r>
        <w:rPr>
          <w:color w:val="000000" w:themeColor="text1"/>
        </w:rPr>
        <w:t xml:space="preserve">от утвержденных сводной бюджетной росписью ассигнований</w:t>
      </w:r>
      <w:r>
        <w:rPr>
          <w:color w:val="000000" w:themeColor="text1"/>
          <w:lang w:eastAsia="ru-RU"/>
        </w:rPr>
        <w:t xml:space="preserve">, из них: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353 535,4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тыс. рублей </w:t>
      </w:r>
      <w:r>
        <w:rPr>
          <w:color w:val="000000" w:themeColor="text1"/>
          <w:lang w:eastAsia="ru-RU"/>
        </w:rPr>
        <w:t xml:space="preserve">субсидии </w:t>
      </w:r>
      <w:r>
        <w:rPr>
          <w:color w:val="000000" w:themeColor="text1"/>
          <w:lang w:eastAsia="ru-RU"/>
        </w:rPr>
        <w:t xml:space="preserve">на создание комфортной городской среды в малых городах и исторических поселениях </w:t>
      </w:r>
      <w:r>
        <w:rPr>
          <w:color w:val="000000" w:themeColor="text1"/>
          <w:lang w:eastAsia="ru-RU"/>
        </w:rPr>
        <w:t xml:space="preserve">–</w:t>
      </w:r>
      <w:r>
        <w:rPr>
          <w:color w:val="000000" w:themeColor="text1"/>
          <w:lang w:eastAsia="ru-RU"/>
        </w:rPr>
        <w:t xml:space="preserve"> победителях Всероссийского конкурса лучших проектов создания комфортной городской среды, в рамках которой </w:t>
      </w:r>
      <w:r>
        <w:rPr>
          <w:color w:val="000000" w:themeColor="text1"/>
        </w:rPr>
        <w:t xml:space="preserve">заключены </w:t>
      </w:r>
      <w:r>
        <w:rPr>
          <w:color w:val="000000" w:themeColor="text1"/>
        </w:rPr>
        <w:t xml:space="preserve">четыре </w:t>
      </w:r>
      <w:r>
        <w:rPr>
          <w:color w:val="000000" w:themeColor="text1"/>
        </w:rPr>
        <w:t xml:space="preserve">МК на благоустройство общественных территорий</w:t>
      </w:r>
      <w:r>
        <w:rPr>
          <w:color w:val="000000" w:themeColor="text1"/>
        </w:rPr>
        <w:t xml:space="preserve">, из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них</w:t>
      </w:r>
      <w:r>
        <w:rPr>
          <w:color w:val="000000" w:themeColor="text1"/>
          <w:lang w:eastAsia="ru-RU"/>
        </w:rPr>
        <w:t xml:space="preserve">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</w:rPr>
        <w:t xml:space="preserve">101 010,1</w:t>
      </w:r>
      <w:r>
        <w:rPr>
          <w:color w:val="000000" w:themeColor="text1"/>
        </w:rPr>
        <w:t xml:space="preserve"> тыс. рублей на выполнение работ по благоустройству «Общественная территория, прогулочная зона по ул. Советская, </w:t>
      </w:r>
      <w:r>
        <w:rPr>
          <w:color w:val="000000" w:themeColor="text1"/>
        </w:rPr>
        <w:t xml:space="preserve">д. 23 в г. Певек», контракт исполнен; 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</w:rPr>
        <w:t xml:space="preserve">101 010,1</w:t>
      </w:r>
      <w:r>
        <w:rPr>
          <w:color w:val="000000" w:themeColor="text1"/>
        </w:rPr>
        <w:t xml:space="preserve"> тыс. рублей на благоустройство территории по адресу: Почтовый проезд, 4 рядом со спортивным комплексом </w:t>
      </w:r>
      <w:r>
        <w:rPr>
          <w:color w:val="000000" w:themeColor="text1"/>
        </w:rPr>
        <w:t xml:space="preserve">«</w:t>
      </w:r>
      <w:r>
        <w:rPr>
          <w:color w:val="000000" w:themeColor="text1"/>
        </w:rPr>
        <w:t xml:space="preserve">Луч</w:t>
      </w:r>
      <w:r>
        <w:rPr>
          <w:color w:val="000000" w:themeColor="text1"/>
        </w:rPr>
        <w:t xml:space="preserve">»</w:t>
      </w:r>
      <w:r>
        <w:rPr>
          <w:color w:val="000000" w:themeColor="text1"/>
        </w:rPr>
        <w:t xml:space="preserve"> в г.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Билибино (первая очередь)», контракт находится на исполнении;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</w:rPr>
        <w:t xml:space="preserve">151 515,2 тыс. рублей на выполнение работ по подготовке территории к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благоустройству зоны отдыха на Верблюжьей сопке» и по поставке </w:t>
      </w:r>
      <w:r>
        <w:rPr>
          <w:color w:val="000000" w:themeColor="text1"/>
        </w:rPr>
        <w:t xml:space="preserve">и установке малых архитектурных форм (</w:t>
      </w:r>
      <w:r>
        <w:rPr>
          <w:color w:val="000000" w:themeColor="text1"/>
        </w:rPr>
        <w:t xml:space="preserve">мафов</w:t>
      </w:r>
      <w:r>
        <w:rPr>
          <w:color w:val="000000" w:themeColor="text1"/>
        </w:rPr>
        <w:t xml:space="preserve">) на территории зоны отдыха на Верблюжьей сопке, контракты находятся на исполнении</w:t>
      </w:r>
      <w:r>
        <w:rPr>
          <w:color w:val="000000" w:themeColor="text1"/>
        </w:rPr>
        <w:t xml:space="preserve">;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</w:rPr>
        <w:t xml:space="preserve">-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101 010,1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тыс. рублей субсидии на реализацию программ формирования современной городской среды, в рамках которой </w:t>
      </w:r>
      <w:r>
        <w:rPr>
          <w:color w:val="000000" w:themeColor="text1"/>
        </w:rPr>
        <w:t xml:space="preserve">заключены</w:t>
      </w:r>
      <w:r>
        <w:rPr>
          <w:color w:val="000000" w:themeColor="text1"/>
        </w:rPr>
        <w:t xml:space="preserve"> четыре </w:t>
      </w:r>
      <w:r>
        <w:rPr>
          <w:color w:val="000000" w:themeColor="text1"/>
        </w:rPr>
        <w:t xml:space="preserve">МК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на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благоустройство общественных территорий</w:t>
      </w:r>
      <w:r>
        <w:rPr>
          <w:color w:val="000000" w:themeColor="text1"/>
        </w:rPr>
        <w:t xml:space="preserve">, из них</w:t>
      </w:r>
      <w:r>
        <w:rPr>
          <w:color w:val="000000" w:themeColor="text1"/>
          <w:lang w:eastAsia="ru-RU"/>
        </w:rPr>
        <w:t xml:space="preserve">: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60 606,1 тыс. рублей </w:t>
      </w:r>
      <w:r>
        <w:rPr>
          <w:color w:val="000000" w:themeColor="text1"/>
        </w:rPr>
        <w:t xml:space="preserve">на выполнение работ по благоустройству площади возле МАУД</w:t>
      </w:r>
      <w:r>
        <w:rPr>
          <w:color w:val="000000" w:themeColor="text1"/>
        </w:rPr>
        <w:t xml:space="preserve">О городского округа Певек «Детская школа искусств» по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ул.Полярная</w:t>
      </w:r>
      <w:r>
        <w:rPr>
          <w:color w:val="000000" w:themeColor="text1"/>
        </w:rPr>
        <w:t xml:space="preserve">, д.17 г. Певек</w:t>
      </w:r>
      <w:r>
        <w:rPr>
          <w:color w:val="000000" w:themeColor="text1"/>
        </w:rPr>
        <w:t xml:space="preserve">»</w:t>
      </w:r>
      <w:r>
        <w:rPr>
          <w:color w:val="000000" w:themeColor="text1"/>
        </w:rPr>
        <w:t xml:space="preserve"> общей стоимостью 66 491,7 тыс. рублей</w:t>
      </w:r>
      <w:r>
        <w:rPr>
          <w:color w:val="000000" w:themeColor="text1"/>
        </w:rPr>
        <w:t xml:space="preserve">, к</w:t>
      </w:r>
      <w:r>
        <w:rPr>
          <w:color w:val="000000" w:themeColor="text1"/>
        </w:rPr>
        <w:t xml:space="preserve">онтракт исполнен</w:t>
      </w:r>
      <w:r>
        <w:rPr>
          <w:color w:val="000000" w:themeColor="text1"/>
        </w:rPr>
        <w:t xml:space="preserve">; 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14 987,3 тыс. рублей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</w:rPr>
        <w:t xml:space="preserve">на благоустройство территории набережной оз.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«Утиного» в г. Билибино общей стоимостью 15 062,6 тыс. рублей,</w:t>
      </w:r>
      <w:r>
        <w:rPr>
          <w:color w:val="000000" w:themeColor="text1"/>
        </w:rPr>
        <w:t xml:space="preserve"> контракт исполнен; 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5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214,7 тыс. рублей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</w:rPr>
        <w:t xml:space="preserve">на благоустройство территории набережной оз.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«Утиного» в г. Билибино общей стоимостью 5 240,9 тыс. рублей, контракт находится на исполнении;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20 202,0 тыс. рублей</w:t>
      </w:r>
      <w:r>
        <w:rPr>
          <w:color w:val="000000" w:themeColor="text1"/>
          <w:lang w:eastAsia="ru-RU"/>
        </w:rPr>
        <w:t xml:space="preserve"> на </w:t>
      </w:r>
      <w:r>
        <w:rPr>
          <w:color w:val="000000" w:themeColor="text1"/>
        </w:rPr>
        <w:t xml:space="preserve">выполнение работ по объекту: «Благоустройство сквера Л.Ф. Гриневецкого» общей стоимостью 20 233,7 тыс. рублей, контракт исполнен.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</w:rPr>
        <w:t xml:space="preserve">Также, в отчетном периоде </w:t>
      </w:r>
      <w:r>
        <w:rPr>
          <w:color w:val="000000" w:themeColor="text1"/>
        </w:rPr>
        <w:t xml:space="preserve">в рамках реализации национального проекта прошлых лет «Жиль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 и городская среда» по РП «</w:t>
      </w:r>
      <w:r>
        <w:rPr>
          <w:color w:val="000000" w:themeColor="text1"/>
        </w:rPr>
        <w:t xml:space="preserve">Формирование комфортной городской среды</w:t>
      </w:r>
      <w:r>
        <w:rPr>
          <w:color w:val="000000" w:themeColor="text1"/>
        </w:rPr>
        <w:t xml:space="preserve">» </w:t>
      </w:r>
      <w:r>
        <w:rPr>
          <w:color w:val="000000" w:themeColor="text1"/>
        </w:rPr>
        <w:t xml:space="preserve">исполнен договор от 28.12.2024 №1-2024 на выполнение работ по разработке проектной документации и благоустройству общественной территории на Антенном поле общей стоимостью </w:t>
      </w:r>
      <w:r>
        <w:rPr>
          <w:color w:val="000000" w:themeColor="text1"/>
        </w:rPr>
        <w:t xml:space="preserve">108 840,7 тыс. рублей и сроком исполнения 31.07.2025, в рамках предоставленной субсидии Администрации Билибинского МР в 2024 году </w:t>
      </w:r>
      <w:r>
        <w:rPr>
          <w:color w:val="000000" w:themeColor="text1"/>
        </w:rPr>
        <w:t xml:space="preserve">в объеме 101 010,1 тыс. рублей.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Фактическое выполнение мероприятий в отчетном периоде </w:t>
      </w:r>
      <w:r>
        <w:rPr>
          <w:rFonts w:eastAsia="Times New Roman"/>
          <w:color w:val="000000" w:themeColor="text1"/>
          <w:lang w:eastAsia="ru-RU"/>
        </w:rPr>
        <w:t xml:space="preserve">составило </w:t>
      </w:r>
      <w:r>
        <w:rPr>
          <w:rFonts w:eastAsia="Times New Roman"/>
          <w:color w:val="000000" w:themeColor="text1"/>
          <w:lang w:eastAsia="ru-RU"/>
        </w:rPr>
        <w:t xml:space="preserve">297 818,6</w:t>
      </w:r>
      <w:r>
        <w:rPr>
          <w:rFonts w:eastAsia="Times New Roman"/>
          <w:color w:val="000000" w:themeColor="text1"/>
          <w:lang w:eastAsia="ru-RU"/>
        </w:rPr>
        <w:t xml:space="preserve"> тыс. рублей, </w:t>
      </w:r>
      <w:r>
        <w:rPr>
          <w:color w:val="000000" w:themeColor="text1"/>
        </w:rPr>
        <w:t xml:space="preserve">из них 101 010,1 тыс. рублей за счет авансовых платежей 2024 года</w:t>
      </w:r>
      <w:r>
        <w:rPr>
          <w:color w:val="000000" w:themeColor="text1"/>
        </w:rPr>
        <w:t xml:space="preserve"> в 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</w:rPr>
        <w:t xml:space="preserve"> «Жилье и городская среда»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По состоянию на 1 января 2025 года в рамках реализации мероприятий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дебиторской задолженности Департамента строительства числятся бюджетные средства в объеме 257 740,0 тыс. рублей.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4) В рамках реализации </w:t>
      </w:r>
      <w:r>
        <w:rPr>
          <w:b/>
          <w:color w:val="000000" w:themeColor="text1"/>
        </w:rPr>
        <w:t xml:space="preserve">РП «Региональная и местная дорожная сеть»</w:t>
      </w:r>
      <w:r>
        <w:rPr>
          <w:color w:val="000000" w:themeColor="text1"/>
        </w:rPr>
        <w:t xml:space="preserve"> направлены бюджетные ассигнования в объеме 2 378 554,5 тыс. рублей, (из них 2 254 086,1 тыс. рублей средства федерального бюджета), </w:t>
      </w:r>
      <w:r>
        <w:rPr>
          <w:color w:val="000000" w:themeColor="text1"/>
        </w:rPr>
        <w:t xml:space="preserve">или 100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% от утвержденных СБР ассигнований, из них: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- 955 859,6</w:t>
      </w:r>
      <w:r>
        <w:rPr>
          <w:color w:val="000000" w:themeColor="text1"/>
        </w:rPr>
        <w:t xml:space="preserve"> тыс. рублей </w:t>
      </w:r>
      <w:r>
        <w:rPr>
          <w:color w:val="000000" w:themeColor="text1"/>
        </w:rPr>
        <w:t xml:space="preserve">в рамках </w:t>
      </w:r>
      <w:r>
        <w:rPr>
          <w:color w:val="000000" w:themeColor="text1"/>
        </w:rPr>
        <w:t xml:space="preserve">развити</w:t>
      </w:r>
      <w:r>
        <w:rPr>
          <w:color w:val="000000" w:themeColor="text1"/>
        </w:rPr>
        <w:t xml:space="preserve">я</w:t>
      </w:r>
      <w:r>
        <w:rPr>
          <w:color w:val="000000" w:themeColor="text1"/>
        </w:rPr>
        <w:t xml:space="preserve"> и приведени</w:t>
      </w:r>
      <w:r>
        <w:rPr>
          <w:color w:val="000000" w:themeColor="text1"/>
        </w:rPr>
        <w:t xml:space="preserve">я</w:t>
      </w:r>
      <w:r>
        <w:rPr>
          <w:color w:val="000000" w:themeColor="text1"/>
        </w:rPr>
        <w:t xml:space="preserve">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</w:r>
      <w:r>
        <w:rPr>
          <w:color w:val="000000" w:themeColor="text1"/>
        </w:rPr>
        <w:t xml:space="preserve">, </w:t>
      </w:r>
      <w:r>
        <w:rPr>
          <w:rFonts w:eastAsia="Times New Roman"/>
          <w:color w:val="000000" w:themeColor="text1"/>
          <w:szCs w:val="20"/>
          <w:lang w:eastAsia="ru-RU"/>
        </w:rPr>
        <w:t xml:space="preserve">на</w:t>
      </w:r>
      <w:r>
        <w:rPr>
          <w:rFonts w:eastAsia="Times New Roman"/>
          <w:color w:val="000000" w:themeColor="text1"/>
          <w:szCs w:val="20"/>
          <w:lang w:eastAsia="ru-RU"/>
        </w:rPr>
        <w:t xml:space="preserve"> </w:t>
      </w:r>
      <w:r>
        <w:rPr>
          <w:rFonts w:eastAsia="Times New Roman"/>
          <w:color w:val="000000" w:themeColor="text1"/>
          <w:szCs w:val="20"/>
          <w:lang w:eastAsia="ru-RU"/>
        </w:rPr>
        <w:t xml:space="preserve">реализацию мероприятия «Капитальный ремонт автомобильной дороги «Подъезд до 10 причала» от 29 км а/д «</w:t>
      </w:r>
      <w:r>
        <w:rPr>
          <w:rFonts w:eastAsia="Times New Roman"/>
          <w:color w:val="000000" w:themeColor="text1"/>
          <w:szCs w:val="20"/>
          <w:lang w:eastAsia="ru-RU"/>
        </w:rPr>
        <w:t xml:space="preserve">Автоподъезд</w:t>
      </w:r>
      <w:r>
        <w:rPr>
          <w:rFonts w:eastAsia="Times New Roman"/>
          <w:color w:val="000000" w:themeColor="text1"/>
          <w:szCs w:val="20"/>
          <w:lang w:eastAsia="ru-RU"/>
        </w:rPr>
        <w:t xml:space="preserve"> до аэропорта </w:t>
      </w:r>
      <w:r>
        <w:rPr>
          <w:rFonts w:eastAsia="Times New Roman"/>
          <w:color w:val="000000" w:themeColor="text1"/>
          <w:szCs w:val="20"/>
          <w:lang w:eastAsia="ru-RU"/>
        </w:rPr>
        <w:t xml:space="preserve">от г. Анадырь» в Чукотском автономном округе»;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- 101 699,9</w:t>
      </w:r>
      <w:r>
        <w:rPr>
          <w:color w:val="000000" w:themeColor="text1"/>
        </w:rPr>
        <w:t xml:space="preserve"> тыс. рублей </w:t>
      </w:r>
      <w:r>
        <w:rPr>
          <w:color w:val="000000" w:themeColor="text1"/>
        </w:rPr>
        <w:t xml:space="preserve">в рамках</w:t>
      </w:r>
      <w:r>
        <w:rPr>
          <w:color w:val="000000" w:themeColor="text1"/>
        </w:rPr>
        <w:t xml:space="preserve"> реализаци</w:t>
      </w:r>
      <w:r>
        <w:rPr>
          <w:color w:val="000000" w:themeColor="text1"/>
        </w:rPr>
        <w:t xml:space="preserve">и</w:t>
      </w:r>
      <w:r>
        <w:rPr>
          <w:color w:val="000000" w:themeColor="text1"/>
        </w:rPr>
        <w:t xml:space="preserve"> региональных проектов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области дорожного хозяйства</w:t>
      </w:r>
      <w:r>
        <w:rPr>
          <w:color w:val="000000" w:themeColor="text1"/>
        </w:rPr>
        <w:t xml:space="preserve"> предоставлена</w:t>
      </w:r>
      <w:r>
        <w:rPr>
          <w:color w:val="000000" w:themeColor="text1"/>
        </w:rPr>
        <w:t xml:space="preserve"> </w:t>
      </w:r>
      <w:r>
        <w:rPr>
          <w:rFonts w:eastAsia="Times New Roman"/>
          <w:color w:val="000000" w:themeColor="text1"/>
          <w:szCs w:val="20"/>
          <w:lang w:eastAsia="ru-RU"/>
        </w:rPr>
        <w:t xml:space="preserve">субсидия бюджету городского округа Анадырь из регионального бюджета на приведение в нормативное состояние автомобильных дорог местного значения</w:t>
      </w:r>
      <w:r>
        <w:rPr>
          <w:rFonts w:eastAsia="Times New Roman"/>
          <w:color w:val="000000" w:themeColor="text1"/>
          <w:szCs w:val="20"/>
          <w:lang w:eastAsia="ru-RU"/>
        </w:rPr>
        <w:t xml:space="preserve"> </w:t>
      </w:r>
      <w:r>
        <w:rPr>
          <w:color w:val="000000" w:themeColor="text1"/>
        </w:rPr>
        <w:t xml:space="preserve">на реализацию четырех МК: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/>
      <w:bookmarkStart w:id="0" w:name="undefined"/>
      <w:r/>
      <w:bookmarkStart w:id="0" w:name="undefined"/>
      <w:r>
        <w:rPr>
          <w:color w:val="000000" w:themeColor="text1"/>
        </w:rPr>
        <w:t xml:space="preserve">на выполнение работ по завершению строительства объекта капитального строительства автомобильной дороги от ул. Рультытегина </w:t>
      </w:r>
      <w:r>
        <w:rPr>
          <w:color w:val="000000" w:themeColor="text1"/>
        </w:rPr>
        <w:t xml:space="preserve">до ул. Энергетиков «Завершение строительства автомобильной дороги </w:t>
      </w:r>
      <w:r>
        <w:rPr>
          <w:color w:val="000000" w:themeColor="text1"/>
        </w:rPr>
        <w:t xml:space="preserve">от ул. Рультытегина до ул. Энергетиков «Устройство покрытия дороги </w:t>
      </w:r>
      <w:r>
        <w:rPr>
          <w:color w:val="000000" w:themeColor="text1"/>
        </w:rPr>
        <w:t xml:space="preserve">и тротуара, освещения. 2 этап», </w:t>
      </w:r>
      <w:hyperlink r:id="rId16" w:tooltip="https://xn--d1aluo.xn--p1ai/planning/regional/events/1519992" w:history="1">
        <w:r>
          <w:rPr>
            <w:rStyle w:val="4394"/>
            <w:color w:val="000000" w:themeColor="text1"/>
            <w:u w:val="none"/>
          </w:rPr>
          <w:t xml:space="preserve">участок км 0+000 - км 0+580</w:t>
        </w:r>
      </w:hyperlink>
      <w:r>
        <w:rPr>
          <w:rStyle w:val="4394"/>
          <w:color w:val="000000" w:themeColor="text1"/>
          <w:u w:val="none"/>
        </w:rPr>
        <w:t xml:space="preserve">»</w:t>
      </w:r>
      <w:r>
        <w:rPr>
          <w:color w:val="000000" w:themeColor="text1"/>
        </w:rPr>
        <w:t xml:space="preserve">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выполнение работ по ремонту автомобильных дорог Анадырской городской агломерации «Ремонт </w:t>
      </w:r>
      <w:r>
        <w:rPr>
          <w:bCs/>
          <w:color w:val="000000" w:themeColor="text1"/>
        </w:rPr>
        <w:t xml:space="preserve">участка автомобильной дороги Перекресток по</w:t>
      </w:r>
      <w:r>
        <w:rPr>
          <w:bCs/>
          <w:color w:val="000000" w:themeColor="text1"/>
        </w:rPr>
        <w:t xml:space="preserve"> </w:t>
      </w:r>
      <w:r>
        <w:rPr>
          <w:bCs/>
          <w:color w:val="000000" w:themeColor="text1"/>
        </w:rPr>
        <w:t xml:space="preserve">ул. Мира от КМ 0+275 до КМ 0+116 до ул. Отке от КМ 2+070 до КМ 2+037</w:t>
      </w:r>
      <w:r>
        <w:rPr>
          <w:color w:val="000000" w:themeColor="text1"/>
        </w:rPr>
        <w:t xml:space="preserve">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выполнение работ по ремонту автомобильных дорог Анадырской городской агломерации «Ремонт участка автомобильной дороги по ул. </w:t>
      </w:r>
      <w:r>
        <w:rPr>
          <w:color w:val="000000" w:themeColor="text1"/>
        </w:rPr>
        <w:t xml:space="preserve">Отке</w:t>
      </w:r>
      <w:r>
        <w:rPr>
          <w:color w:val="000000" w:themeColor="text1"/>
        </w:rPr>
        <w:t xml:space="preserve"> (от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ТЦ </w:t>
      </w:r>
      <w:r>
        <w:rPr>
          <w:color w:val="000000" w:themeColor="text1"/>
        </w:rPr>
        <w:t xml:space="preserve">Новомариинский</w:t>
      </w:r>
      <w:r>
        <w:rPr>
          <w:color w:val="000000" w:themeColor="text1"/>
        </w:rPr>
        <w:t xml:space="preserve"> до МБОУ ООШ №1 города Анадыря), </w:t>
      </w:r>
      <w:r>
        <w:rPr>
          <w:color w:val="000000" w:themeColor="text1"/>
        </w:rPr>
        <w:t xml:space="preserve">км 1 + 581 - км 1 + 713»;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/>
      <w:bookmarkStart w:id="0" w:name="undefined"/>
      <w:r>
        <w:rPr>
          <w:color w:val="000000" w:themeColor="text1"/>
        </w:rPr>
        <w:t xml:space="preserve">на выполнение работ по ремонту автомобильных дорог Анадырской городской агломерации (участок автомобильной дороги по ул. Отке в районе МКД №8 км (от МФЦ до Центробанка) участок 1+836 до км 1+941</w:t>
      </w:r>
      <w:bookmarkEnd w:id="0"/>
      <w:r>
        <w:rPr>
          <w:color w:val="000000" w:themeColor="text1"/>
        </w:rPr>
        <w:t xml:space="preserve">»</w:t>
      </w:r>
      <w:r>
        <w:rPr>
          <w:color w:val="000000" w:themeColor="text1"/>
        </w:rPr>
        <w:t xml:space="preserve">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- 1 320 995,0 тыс. рублей </w:t>
      </w:r>
      <w:r>
        <w:rPr>
          <w:color w:val="000000" w:themeColor="text1"/>
        </w:rPr>
        <w:t xml:space="preserve">в рамках</w:t>
      </w:r>
      <w:r>
        <w:rPr>
          <w:color w:val="000000" w:themeColor="text1"/>
        </w:rPr>
        <w:t xml:space="preserve"> развити</w:t>
      </w:r>
      <w:r>
        <w:rPr>
          <w:color w:val="000000" w:themeColor="text1"/>
        </w:rPr>
        <w:t xml:space="preserve">я</w:t>
      </w:r>
      <w:r>
        <w:rPr>
          <w:color w:val="000000" w:themeColor="text1"/>
        </w:rPr>
        <w:t xml:space="preserve"> и приведени</w:t>
      </w:r>
      <w:r>
        <w:rPr>
          <w:color w:val="000000" w:themeColor="text1"/>
        </w:rPr>
        <w:t xml:space="preserve">я</w:t>
      </w:r>
      <w:r>
        <w:rPr>
          <w:color w:val="000000" w:themeColor="text1"/>
        </w:rPr>
        <w:t xml:space="preserve">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из них: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1 264 016,7</w:t>
      </w:r>
      <w:r>
        <w:rPr>
          <w:color w:val="000000" w:themeColor="text1"/>
        </w:rPr>
        <w:t xml:space="preserve"> тыс. рублей на строительство автомобильной дороги Колыма</w:t>
      </w:r>
      <w:r>
        <w:rPr>
          <w:color w:val="000000" w:themeColor="text1"/>
        </w:rPr>
        <w:t xml:space="preserve"> –</w:t>
      </w:r>
      <w:r>
        <w:rPr>
          <w:color w:val="000000" w:themeColor="text1"/>
        </w:rPr>
        <w:t xml:space="preserve"> Омсукчан </w:t>
      </w:r>
      <w:r>
        <w:rPr>
          <w:color w:val="000000" w:themeColor="text1"/>
        </w:rPr>
        <w:t xml:space="preserve">–</w:t>
      </w:r>
      <w:r>
        <w:rPr>
          <w:color w:val="000000" w:themeColor="text1"/>
        </w:rPr>
        <w:t xml:space="preserve"> Омолон </w:t>
      </w:r>
      <w:r>
        <w:rPr>
          <w:color w:val="000000" w:themeColor="text1"/>
        </w:rPr>
        <w:t xml:space="preserve">–</w:t>
      </w:r>
      <w:r>
        <w:rPr>
          <w:color w:val="000000" w:themeColor="text1"/>
        </w:rPr>
        <w:t xml:space="preserve"> Анадырь на территории Чукотского автономного округа, участок Омолон </w:t>
      </w:r>
      <w:r>
        <w:rPr>
          <w:color w:val="000000" w:themeColor="text1"/>
        </w:rPr>
        <w:t xml:space="preserve">–</w:t>
      </w:r>
      <w:r>
        <w:rPr>
          <w:color w:val="000000" w:themeColor="text1"/>
        </w:rPr>
        <w:t xml:space="preserve"> Анадырь с подъездами до Билибино, Комсомольского и </w:t>
      </w:r>
      <w:r>
        <w:rPr>
          <w:color w:val="000000" w:themeColor="text1"/>
        </w:rPr>
        <w:t xml:space="preserve">Эгвекинота</w:t>
      </w:r>
      <w:r>
        <w:rPr>
          <w:color w:val="000000" w:themeColor="text1"/>
        </w:rPr>
        <w:t xml:space="preserve"> в рамках шести ГК: №2СТР-22 от 11.03.2022 общей стоимостью 1</w:t>
      </w:r>
      <w:r>
        <w:rPr>
          <w:color w:val="000000" w:themeColor="text1"/>
        </w:rPr>
        <w:t xml:space="preserve"> 656 900,6 тыс. рублей и сроком исполнения 01.10.2027; №3СТР-22 от 22.04.2022 общей стоимостью 2 431 141,9 тыс. рублей и сроком исполнения 01.10.2029; №1СТР-23 от 20.02.2023 общей стоимостью 1 053 461,0 тыс. рублей и сроком исполнения 01.10.2027; №2СТР-23 </w:t>
      </w:r>
      <w:r>
        <w:rPr>
          <w:color w:val="000000" w:themeColor="text1"/>
        </w:rPr>
        <w:t xml:space="preserve">от 15.03.2023 общей </w:t>
      </w:r>
      <w:r>
        <w:rPr>
          <w:color w:val="000000" w:themeColor="text1"/>
        </w:rPr>
        <w:t xml:space="preserve">стоимостью 2 138 450,2 тыс. рублей и сроком исполнения 01.10.2029; №3СТР-23 от 14.03.2023 общей стоимостью 2 511 802,1 тыс. рублей и сроком исполнения 01.10.2030; №4СТР-23 от 16.03.2023 общей стоимостью 993 662,5 тыс. рублей и сроком исполнения 01.10.2028;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56</w:t>
      </w:r>
      <w:r>
        <w:rPr>
          <w:color w:val="000000" w:themeColor="text1"/>
        </w:rPr>
        <w:t xml:space="preserve"> 978,3</w:t>
      </w:r>
      <w:r>
        <w:rPr>
          <w:color w:val="000000" w:themeColor="text1"/>
        </w:rPr>
        <w:t xml:space="preserve"> тыс. рублей на реконструкци</w:t>
      </w:r>
      <w:r>
        <w:rPr>
          <w:color w:val="000000" w:themeColor="text1"/>
        </w:rPr>
        <w:t xml:space="preserve">ю</w:t>
      </w:r>
      <w:r>
        <w:rPr>
          <w:color w:val="000000" w:themeColor="text1"/>
        </w:rPr>
        <w:t xml:space="preserve"> автомобильной дороги «Билибино </w:t>
      </w:r>
      <w:r>
        <w:rPr>
          <w:color w:val="000000" w:themeColor="text1"/>
        </w:rPr>
        <w:t xml:space="preserve">–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Комсомольский – Певек» от 4 км а/д «Билибино – Кепервеем» </w:t>
      </w:r>
      <w:r>
        <w:rPr>
          <w:color w:val="000000" w:themeColor="text1"/>
        </w:rPr>
        <w:t xml:space="preserve">до 3 км а/д «</w:t>
      </w:r>
      <w:r>
        <w:rPr>
          <w:color w:val="000000" w:themeColor="text1"/>
        </w:rPr>
        <w:t xml:space="preserve">Певек</w:t>
      </w:r>
      <w:r>
        <w:rPr>
          <w:color w:val="000000" w:themeColor="text1"/>
        </w:rPr>
        <w:t xml:space="preserve"> - </w:t>
      </w:r>
      <w:r>
        <w:rPr>
          <w:color w:val="000000" w:themeColor="text1"/>
        </w:rPr>
        <w:t xml:space="preserve">Апапельгино</w:t>
      </w:r>
      <w:r>
        <w:rPr>
          <w:color w:val="000000" w:themeColor="text1"/>
        </w:rPr>
        <w:t xml:space="preserve"> – </w:t>
      </w:r>
      <w:r>
        <w:rPr>
          <w:color w:val="000000" w:themeColor="text1"/>
        </w:rPr>
        <w:t xml:space="preserve">Янранай</w:t>
      </w:r>
      <w:r>
        <w:rPr>
          <w:color w:val="000000" w:themeColor="text1"/>
        </w:rPr>
        <w:t xml:space="preserve">» в Чукотском автономном округе. Мостовой переход через реку </w:t>
      </w:r>
      <w:r>
        <w:rPr>
          <w:color w:val="000000" w:themeColor="text1"/>
        </w:rPr>
        <w:t xml:space="preserve">Млельын</w:t>
      </w:r>
      <w:r>
        <w:rPr>
          <w:color w:val="000000" w:themeColor="text1"/>
        </w:rPr>
        <w:t xml:space="preserve"> на км 561+953</w:t>
      </w:r>
      <w:r>
        <w:rPr>
          <w:color w:val="000000" w:themeColor="text1"/>
        </w:rPr>
        <w:t xml:space="preserve">»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0"/>
          <w:lang w:eastAsia="ru-RU"/>
        </w:rPr>
        <w:t xml:space="preserve">В 2025 году выполнен ремонт 12 объектов, 4 из которых – объекты Анадырской агломерации, 8 объектов – регионального значения.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0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выполнение мероприятий составило 100 % от полученного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Также, по состоянию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января 2026 года имеется просроченная 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ебиторская задолженность в объеме 510 263,7 тыс. рублей, числящаяся за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Департаментом строительства,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«Культур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», из них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466 470,0 тыс. рублей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выполнение работ по подготовке проектной документации, строительству и вводу в эксплуатацию объекта «Центр культурного развития в г. Певек» общей стоимостью 569 191,1 тыс. рублей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сроком исполнения 15.12.2025. Всего на реализацию мероприятия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данным формы 0503190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бюджетных средств в объеме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473 093,0 тыс. рублей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«Культур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Фактическое выполнение работ по состоянию на 1 января 2026 года составляет 6 762,3 тыс. рублей, из них 6 623,0 тыс. рублей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«Культур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данным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ЕИС ГК расторгнут 08.12.2025 на основании одностороннего отказа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заказчика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исполнения контракта в соответствии с гражданским законодательством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b/>
          <w:color w:val="000000" w:themeColor="text1"/>
          <w:sz w:val="6"/>
          <w:szCs w:val="6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43 793,7 тыс. рублей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выполнение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работ по подготовке проектной документации и выполнению инженерных изысканий, выполнение работ по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строительству и вводу в эксплуатацию объекта: «Дом культуры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с. Канчалан» общей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стоимостью 65 305,3 тыс. рублей и сроком выполнения исполнения 31.12.2025. Фактическое выполнение работ по состоянию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1 января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составило 7 612,2 тыс. рублей за счет средств программных мероприятий ГП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«Развитие культуры и туризма Чукотского автономного округа»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ЕИС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расторгнут 17.03.2025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b/>
          <w:color w:val="000000" w:themeColor="text1"/>
          <w:sz w:val="6"/>
          <w:szCs w:val="6"/>
        </w:rPr>
      </w:r>
      <w:r>
        <w:rPr>
          <w:b/>
          <w:color w:val="000000" w:themeColor="text1"/>
          <w:sz w:val="6"/>
          <w:szCs w:val="6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2.4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В рамках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НП «Кадры»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 территории Чукотского автономного округа реализуются два региональных проекта, мероприятия которых интегрированы в государственную программу «Развитие занятости населения Чукотского автономного округа». По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«Управление рынком труда»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025 году финансовое обеспечение не предусмотрено.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реализацию регионального проекта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НП «Кадры»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отчетном периоде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окружного бюджета направлено 27 000,0 тыс. рублей (из 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650,0 тыс. рублей – средства федерального бюджета) или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утвержденных сводной бюджетной росписью ассигнований. Ф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актическое выполнение мероприятий регионального проекта составило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30 758,2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тыс. рублей,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9 617,5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 за счет авансовых платежей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2023-2024 годов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«Демография»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Дебиторская задолженность по состоянию на </w:t>
      </w:r>
      <w:r>
        <w:rPr>
          <w:color w:val="000000" w:themeColor="text1"/>
          <w:lang w:eastAsia="ru-RU"/>
        </w:rPr>
        <w:t xml:space="preserve">1 января 2026 года </w:t>
      </w:r>
      <w:r>
        <w:rPr>
          <w:color w:val="000000" w:themeColor="text1"/>
          <w:lang w:eastAsia="ru-RU"/>
        </w:rPr>
        <w:t xml:space="preserve">составила 7 748,6 тыс. рублей</w:t>
      </w:r>
      <w:r>
        <w:rPr>
          <w:color w:val="000000" w:themeColor="text1"/>
          <w:lang w:eastAsia="ru-RU"/>
        </w:rPr>
        <w:t xml:space="preserve">, из них 1 889,3 </w:t>
      </w:r>
      <w:r>
        <w:rPr>
          <w:color w:val="000000" w:themeColor="text1"/>
          <w:lang w:eastAsia="ru-RU"/>
        </w:rPr>
        <w:t xml:space="preserve">тыс. рублей </w:t>
      </w:r>
      <w:r>
        <w:rPr>
          <w:color w:val="000000" w:themeColor="text1"/>
          <w:lang w:eastAsia="ru-RU"/>
        </w:rPr>
        <w:t xml:space="preserve">в рамках реализации национального проекта прошлых лет «Демография»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(рис. 5).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57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ind w:right="57" w:firstLine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</w:rPr>
        <w:drawing>
          <wp:inline distT="0" distB="0" distL="0" distR="0">
            <wp:extent cx="5880100" cy="1231900"/>
            <wp:effectExtent l="0" t="0" r="6350" b="6350"/>
            <wp:docPr id="6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jc w:val="center"/>
        <w:spacing w:before="0" w:beforeAutospacing="0" w:after="0" w:afterAutospacing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Рис. 5 (тыс. рублей)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57" w:right="57" w:hanging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6"/>
          <w:szCs w:val="6"/>
        </w:rPr>
      </w:pPr>
      <w:r>
        <w:rPr>
          <w:rFonts w:ascii="Times New Roman" w:hAnsi="Times New Roman" w:cs="Times New Roman"/>
          <w:color w:val="000000" w:themeColor="text1"/>
          <w:sz w:val="6"/>
          <w:szCs w:val="6"/>
        </w:rPr>
      </w:r>
      <w:r>
        <w:rPr>
          <w:rFonts w:ascii="Times New Roman" w:hAnsi="Times New Roman" w:cs="Times New Roman"/>
          <w:color w:val="000000" w:themeColor="text1"/>
          <w:sz w:val="6"/>
          <w:szCs w:val="6"/>
        </w:rPr>
      </w:r>
      <w:r>
        <w:rPr>
          <w:rFonts w:ascii="Times New Roman" w:hAnsi="Times New Roman" w:cs="Times New Roman"/>
          <w:color w:val="000000" w:themeColor="text1"/>
          <w:sz w:val="6"/>
          <w:szCs w:val="6"/>
        </w:rPr>
      </w:r>
    </w:p>
    <w:p>
      <w:pPr>
        <w:ind w:left="57" w:right="57" w:hanging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6"/>
          <w:szCs w:val="6"/>
        </w:rPr>
      </w:pPr>
      <w:r>
        <w:rPr>
          <w:rFonts w:ascii="Times New Roman" w:hAnsi="Times New Roman" w:cs="Times New Roman"/>
          <w:color w:val="000000" w:themeColor="text1"/>
          <w:sz w:val="6"/>
          <w:szCs w:val="6"/>
        </w:rPr>
      </w:r>
      <w:r>
        <w:rPr>
          <w:rFonts w:ascii="Times New Roman" w:hAnsi="Times New Roman" w:cs="Times New Roman"/>
          <w:color w:val="000000" w:themeColor="text1"/>
          <w:sz w:val="6"/>
          <w:szCs w:val="6"/>
        </w:rPr>
      </w:r>
      <w:r>
        <w:rPr>
          <w:rFonts w:ascii="Times New Roman" w:hAnsi="Times New Roman" w:cs="Times New Roman"/>
          <w:color w:val="000000" w:themeColor="text1"/>
          <w:sz w:val="6"/>
          <w:szCs w:val="6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По данным отчета о ходе реализации регионального проекта за 2025 год, установленные паспортом регионального проекта один результат и </w:t>
      </w:r>
      <w:r>
        <w:rPr>
          <w:color w:val="000000" w:themeColor="text1"/>
          <w:lang w:eastAsia="ru-RU"/>
        </w:rPr>
        <w:t xml:space="preserve">все </w:t>
      </w:r>
      <w:r>
        <w:rPr>
          <w:color w:val="000000" w:themeColor="text1"/>
          <w:lang w:eastAsia="ru-RU"/>
        </w:rPr>
        <w:t xml:space="preserve">шесть</w:t>
      </w:r>
      <w:r>
        <w:rPr>
          <w:color w:val="000000" w:themeColor="text1"/>
          <w:lang w:eastAsia="ru-RU"/>
        </w:rPr>
        <w:t xml:space="preserve"> контрольных точек достигнуты.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Анализ хода реализации региональных проектов в рамках </w:t>
      </w:r>
      <w:r>
        <w:rPr>
          <w:b/>
          <w:i/>
          <w:color w:val="000000" w:themeColor="text1"/>
        </w:rPr>
        <w:t xml:space="preserve">НП «Кадры»</w:t>
      </w:r>
      <w:r>
        <w:rPr>
          <w:color w:val="000000" w:themeColor="text1"/>
        </w:rPr>
        <w:t xml:space="preserve"> показал следующее.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В ходе реализации </w:t>
      </w:r>
      <w:r>
        <w:rPr>
          <w:b/>
          <w:color w:val="000000" w:themeColor="text1"/>
        </w:rPr>
        <w:t xml:space="preserve">РП «Активные меры содействия занятости»</w:t>
      </w:r>
      <w:r>
        <w:rPr>
          <w:color w:val="000000" w:themeColor="text1"/>
        </w:rPr>
        <w:t xml:space="preserve"> осуществлялась реализация дополнительных мероприятий в сфере занятости населения.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В отчетном периоде </w:t>
      </w:r>
      <w:r>
        <w:rPr>
          <w:color w:val="000000" w:themeColor="text1"/>
          <w:lang w:eastAsia="ru-RU"/>
        </w:rPr>
        <w:t xml:space="preserve">финансовая поддержка </w:t>
      </w:r>
      <w:r>
        <w:rPr>
          <w:color w:val="000000" w:themeColor="text1"/>
          <w:lang w:eastAsia="ru-RU"/>
        </w:rPr>
        <w:t xml:space="preserve">предоставлена </w:t>
      </w:r>
      <w:r>
        <w:rPr>
          <w:color w:val="000000" w:themeColor="text1"/>
          <w:lang w:eastAsia="ru-RU"/>
        </w:rPr>
        <w:t xml:space="preserve">6 </w:t>
      </w:r>
      <w:r>
        <w:rPr>
          <w:color w:val="000000" w:themeColor="text1"/>
          <w:lang w:eastAsia="ru-RU"/>
        </w:rPr>
        <w:t xml:space="preserve">работодателям округа </w:t>
      </w:r>
      <w:r>
        <w:rPr>
          <w:color w:val="000000" w:themeColor="text1"/>
        </w:rPr>
        <w:t xml:space="preserve">в объеме </w:t>
      </w:r>
      <w:r>
        <w:rPr>
          <w:color w:val="000000" w:themeColor="text1"/>
        </w:rPr>
        <w:t xml:space="preserve">27</w:t>
      </w:r>
      <w:r>
        <w:rPr>
          <w:color w:val="000000" w:themeColor="text1"/>
        </w:rPr>
        <w:t xml:space="preserve"> 000,0 тыс. рублей</w:t>
      </w:r>
      <w:r>
        <w:rPr>
          <w:color w:val="000000" w:themeColor="text1"/>
          <w:lang w:eastAsia="ru-RU"/>
        </w:rPr>
        <w:t xml:space="preserve">, </w:t>
      </w:r>
      <w:r>
        <w:rPr>
          <w:color w:val="000000" w:themeColor="text1"/>
        </w:rPr>
        <w:t xml:space="preserve">численность привлеч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нных в округ специалистов составила </w:t>
      </w:r>
      <w:r>
        <w:rPr>
          <w:color w:val="000000" w:themeColor="text1"/>
        </w:rPr>
        <w:t xml:space="preserve">27</w:t>
      </w:r>
      <w:r>
        <w:rPr>
          <w:color w:val="000000" w:themeColor="text1"/>
        </w:rPr>
        <w:t xml:space="preserve"> человек.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выполнение мероприятия составило 78,3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% от полученного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b/>
          <w:color w:val="000000" w:themeColor="text1"/>
        </w:rPr>
        <w:t xml:space="preserve">2.5.</w:t>
      </w:r>
      <w:r>
        <w:rPr>
          <w:color w:val="000000" w:themeColor="text1"/>
        </w:rPr>
        <w:t xml:space="preserve"> В рамках </w:t>
      </w:r>
      <w:r>
        <w:rPr>
          <w:b/>
          <w:i/>
          <w:color w:val="000000" w:themeColor="text1"/>
        </w:rPr>
        <w:t xml:space="preserve">НП «Туризм и гостеприимство»</w:t>
      </w:r>
      <w:r>
        <w:rPr>
          <w:color w:val="000000" w:themeColor="text1"/>
        </w:rPr>
        <w:t xml:space="preserve"> реализуется </w:t>
      </w:r>
      <w:r>
        <w:rPr>
          <w:b/>
          <w:color w:val="000000" w:themeColor="text1"/>
        </w:rPr>
        <w:t xml:space="preserve">РП «Создание номерного фонда, инфраструктуры и новых точек притяжения»</w:t>
      </w:r>
      <w:r>
        <w:rPr>
          <w:color w:val="000000" w:themeColor="text1"/>
        </w:rPr>
        <w:t xml:space="preserve">, мероприятия которого интегрированы в государственную программу «Развитие культуры и туризма Чукотского автономного округа».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реализацию регионального проекта </w:t>
      </w:r>
      <w:r>
        <w:rPr>
          <w:b/>
          <w:i/>
          <w:color w:val="000000" w:themeColor="text1"/>
        </w:rPr>
        <w:t xml:space="preserve">НП «Туризм </w:t>
      </w:r>
      <w:r>
        <w:rPr>
          <w:b/>
          <w:i/>
          <w:color w:val="000000" w:themeColor="text1"/>
        </w:rPr>
        <w:t xml:space="preserve">и </w:t>
      </w:r>
      <w:r>
        <w:rPr>
          <w:b/>
          <w:i/>
          <w:color w:val="000000" w:themeColor="text1"/>
        </w:rPr>
        <w:t xml:space="preserve">гостеприимство»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отчетном периоде </w:t>
      </w:r>
      <w:r>
        <w:rPr>
          <w:color w:val="000000" w:themeColor="text1"/>
        </w:rPr>
        <w:t xml:space="preserve">из окружного бюджета направлено 30 301,1 тыс. рублей (из них 30 000,0 тыс. рублей – средства федерального бюджета) или 100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% от утвержденных сводной бюджетной росписью ассигнований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rFonts w:eastAsia="Times New Roman"/>
          <w:color w:val="000000" w:themeColor="text1"/>
          <w:lang w:eastAsia="ru-RU"/>
        </w:rPr>
        <w:t xml:space="preserve">Дебиторская задолженность по состоянию на </w:t>
      </w:r>
      <w:r>
        <w:rPr>
          <w:color w:val="000000" w:themeColor="text1"/>
        </w:rPr>
        <w:t xml:space="preserve">1 января 2026 года </w:t>
      </w:r>
      <w:r>
        <w:rPr>
          <w:rFonts w:eastAsia="Times New Roman"/>
          <w:color w:val="000000" w:themeColor="text1"/>
          <w:lang w:eastAsia="ru-RU"/>
        </w:rPr>
        <w:t xml:space="preserve">составила</w:t>
      </w:r>
      <w:r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60 915,4 тыс. рублей</w:t>
      </w:r>
      <w:r>
        <w:rPr>
          <w:rFonts w:eastAsia="Times New Roman"/>
          <w:color w:val="000000" w:themeColor="text1"/>
          <w:lang w:eastAsia="ru-RU"/>
        </w:rPr>
        <w:t xml:space="preserve">, из них 30 612,3 тыс. рублей в 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rFonts w:eastAsia="Times New Roman"/>
          <w:color w:val="000000" w:themeColor="text1"/>
          <w:lang w:eastAsia="ru-RU"/>
        </w:rPr>
        <w:t xml:space="preserve"> «Туризм и индустрия гостеприимств</w:t>
      </w:r>
      <w:r>
        <w:rPr>
          <w:rFonts w:eastAsia="Times New Roman"/>
          <w:color w:val="000000" w:themeColor="text1"/>
          <w:lang w:eastAsia="ru-RU"/>
        </w:rPr>
        <w:t xml:space="preserve">а</w:t>
      </w:r>
      <w:r>
        <w:rPr>
          <w:rFonts w:eastAsia="Times New Roman"/>
          <w:color w:val="000000" w:themeColor="text1"/>
          <w:lang w:eastAsia="ru-RU"/>
        </w:rPr>
        <w:t xml:space="preserve">»</w:t>
      </w:r>
      <w:r>
        <w:rPr>
          <w:rFonts w:eastAsia="Times New Roman"/>
          <w:color w:val="000000" w:themeColor="text1"/>
          <w:lang w:eastAsia="ru-RU"/>
        </w:rPr>
        <w:t xml:space="preserve"> предоставлена субсидия </w:t>
      </w:r>
      <w:r>
        <w:rPr>
          <w:rFonts w:eastAsia="Times New Roman"/>
          <w:color w:val="000000" w:themeColor="text1"/>
          <w:lang w:eastAsia="ru-RU"/>
        </w:rPr>
        <w:t xml:space="preserve">в 2024 году </w:t>
      </w:r>
      <w:r>
        <w:rPr>
          <w:color w:val="000000" w:themeColor="text1"/>
        </w:rPr>
        <w:t xml:space="preserve">ООО «Север 87» </w:t>
      </w:r>
      <w:r>
        <w:rPr>
          <w:color w:val="000000" w:themeColor="text1"/>
        </w:rPr>
        <w:t xml:space="preserve">на создание объектов кемпинг-размещения в целях финансового обеспечения затрат, связанных с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созданием туристской инфраструктуры на территории Чукотского автономного округа</w:t>
      </w:r>
      <w:r>
        <w:rPr>
          <w:rFonts w:eastAsia="Times New Roman"/>
          <w:color w:val="000000" w:themeColor="text1"/>
          <w:lang w:eastAsia="ru-RU"/>
        </w:rPr>
        <w:t xml:space="preserve"> </w:t>
      </w:r>
      <w:r>
        <w:rPr>
          <w:color w:val="000000" w:themeColor="text1"/>
        </w:rPr>
        <w:t xml:space="preserve"> (рис. 6).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4"/>
          <w:szCs w:val="4"/>
        </w:rPr>
      </w:pPr>
      <w:r>
        <w:rPr>
          <w:color w:val="000000" w:themeColor="text1"/>
          <w:sz w:val="4"/>
          <w:szCs w:val="4"/>
        </w:rPr>
      </w:r>
      <w:r>
        <w:rPr>
          <w:color w:val="000000" w:themeColor="text1"/>
          <w:sz w:val="4"/>
          <w:szCs w:val="4"/>
        </w:rPr>
      </w:r>
      <w:r>
        <w:rPr>
          <w:color w:val="000000" w:themeColor="text1"/>
          <w:sz w:val="4"/>
          <w:szCs w:val="4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2"/>
          <w:szCs w:val="2"/>
        </w:rPr>
      </w:pPr>
      <w:r>
        <w:rPr>
          <w:color w:val="000000" w:themeColor="text1"/>
          <w:sz w:val="2"/>
          <w:szCs w:val="2"/>
        </w:rPr>
      </w:r>
      <w:r>
        <w:rPr>
          <w:color w:val="000000" w:themeColor="text1"/>
          <w:sz w:val="2"/>
          <w:szCs w:val="2"/>
        </w:rPr>
      </w:r>
      <w:r>
        <w:rPr>
          <w:color w:val="000000" w:themeColor="text1"/>
          <w:sz w:val="2"/>
          <w:szCs w:val="2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2"/>
          <w:szCs w:val="2"/>
        </w:rPr>
      </w:pPr>
      <w:r>
        <w:rPr>
          <w:color w:val="000000" w:themeColor="text1"/>
          <w:sz w:val="2"/>
          <w:szCs w:val="2"/>
        </w:rPr>
      </w:r>
      <w:r>
        <w:rPr>
          <w:color w:val="000000" w:themeColor="text1"/>
          <w:sz w:val="2"/>
          <w:szCs w:val="2"/>
        </w:rPr>
      </w:r>
      <w:r>
        <w:rPr>
          <w:color w:val="000000" w:themeColor="text1"/>
          <w:sz w:val="2"/>
          <w:szCs w:val="2"/>
        </w:rPr>
      </w:r>
    </w:p>
    <w:p>
      <w:pPr>
        <w:pStyle w:val="4482"/>
        <w:ind w:firstLine="0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drawing>
          <wp:inline distT="0" distB="0" distL="0" distR="0">
            <wp:extent cx="5943600" cy="1320800"/>
            <wp:effectExtent l="0" t="0" r="0" b="12700"/>
            <wp:docPr id="7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10"/>
          <w:szCs w:val="10"/>
        </w:rPr>
      </w:pPr>
      <w:r>
        <w:rPr>
          <w:color w:val="000000" w:themeColor="text1"/>
          <w:sz w:val="10"/>
          <w:szCs w:val="10"/>
        </w:rPr>
      </w:r>
      <w:r>
        <w:rPr>
          <w:color w:val="000000" w:themeColor="text1"/>
          <w:sz w:val="10"/>
          <w:szCs w:val="10"/>
        </w:rPr>
      </w:r>
      <w:r>
        <w:rPr>
          <w:color w:val="000000" w:themeColor="text1"/>
          <w:sz w:val="10"/>
          <w:szCs w:val="10"/>
        </w:rPr>
      </w:r>
    </w:p>
    <w:p>
      <w:pPr>
        <w:pStyle w:val="4482"/>
        <w:jc w:val="center"/>
        <w:spacing w:before="0" w:beforeAutospacing="0" w:after="0" w:afterAutospacing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Рис. 6 (тыс. рублей)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По данным отчета о ходе реализации региональн</w:t>
      </w:r>
      <w:r>
        <w:rPr>
          <w:color w:val="000000" w:themeColor="text1"/>
          <w:lang w:eastAsia="ru-RU"/>
        </w:rPr>
        <w:t xml:space="preserve">ого</w:t>
      </w:r>
      <w:r>
        <w:rPr>
          <w:color w:val="000000" w:themeColor="text1"/>
          <w:lang w:eastAsia="ru-RU"/>
        </w:rPr>
        <w:t xml:space="preserve"> проект</w:t>
      </w:r>
      <w:r>
        <w:rPr>
          <w:color w:val="000000" w:themeColor="text1"/>
          <w:lang w:eastAsia="ru-RU"/>
        </w:rPr>
        <w:t xml:space="preserve">а</w:t>
      </w:r>
      <w:r>
        <w:rPr>
          <w:color w:val="000000" w:themeColor="text1"/>
          <w:lang w:eastAsia="ru-RU"/>
        </w:rPr>
        <w:t xml:space="preserve"> за 2025 год, установленные паспорт</w:t>
      </w:r>
      <w:r>
        <w:rPr>
          <w:color w:val="000000" w:themeColor="text1"/>
          <w:lang w:eastAsia="ru-RU"/>
        </w:rPr>
        <w:t xml:space="preserve">ом</w:t>
      </w:r>
      <w:r>
        <w:rPr>
          <w:color w:val="000000" w:themeColor="text1"/>
          <w:lang w:eastAsia="ru-RU"/>
        </w:rPr>
        <w:t xml:space="preserve"> региональн</w:t>
      </w:r>
      <w:r>
        <w:rPr>
          <w:color w:val="000000" w:themeColor="text1"/>
          <w:lang w:eastAsia="ru-RU"/>
        </w:rPr>
        <w:t xml:space="preserve">ого</w:t>
      </w:r>
      <w:r>
        <w:rPr>
          <w:color w:val="000000" w:themeColor="text1"/>
          <w:lang w:eastAsia="ru-RU"/>
        </w:rPr>
        <w:t xml:space="preserve"> проект</w:t>
      </w:r>
      <w:r>
        <w:rPr>
          <w:color w:val="000000" w:themeColor="text1"/>
          <w:lang w:eastAsia="ru-RU"/>
        </w:rPr>
        <w:t xml:space="preserve">а</w:t>
      </w:r>
      <w:r>
        <w:rPr>
          <w:color w:val="000000" w:themeColor="text1"/>
          <w:lang w:eastAsia="ru-RU"/>
        </w:rPr>
        <w:t xml:space="preserve">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показатель «Количество туристических поездок по территории Российской Федерации» достигнут;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результат «Реализованы мероприятия субъектами Российской Федерации в рамках предоставления единой субсидии из федерального бюджета бюджетам субъектов Российской Федерации» </w:t>
      </w:r>
      <w:r>
        <w:rPr>
          <w:color w:val="000000" w:themeColor="text1"/>
          <w:lang w:eastAsia="ru-RU"/>
        </w:rPr>
        <w:t xml:space="preserve">не достигнут </w:t>
      </w:r>
      <w:r>
        <w:rPr>
          <w:color w:val="000000" w:themeColor="text1"/>
          <w:lang w:eastAsia="ru-RU"/>
        </w:rPr>
        <w:t xml:space="preserve">по причине невозможности поставки материалов в срок, в связи с чем направлено письмо в Министерство экономического развития Российской Федерации от 19.11.2025 № 09-3/3387 «О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переносе сроков реализации мероприятия федерального проекта»;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- 3 из 8 контрольных точек достигнуты</w:t>
      </w:r>
      <w:r>
        <w:rPr>
          <w:color w:val="000000" w:themeColor="text1"/>
          <w:lang w:eastAsia="ru-RU"/>
        </w:rPr>
        <w:t xml:space="preserve">, не достигнуты: </w:t>
      </w:r>
      <w:r>
        <w:rPr>
          <w:color w:val="000000" w:themeColor="text1"/>
          <w:lang w:eastAsia="ru-RU"/>
        </w:rPr>
        <w:t xml:space="preserve">«Заключено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соглашений)», «Предоставлен отчет о выполнении соглашения о пре</w:t>
      </w:r>
      <w:r>
        <w:rPr>
          <w:color w:val="000000" w:themeColor="text1"/>
          <w:lang w:eastAsia="ru-RU"/>
        </w:rPr>
        <w:t xml:space="preserve">доставлении субсидии юридическому (физическому) лицу», «Заключено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соглашений)», «Представлен отчет </w:t>
      </w:r>
      <w:r>
        <w:rPr>
          <w:color w:val="000000" w:themeColor="text1"/>
          <w:lang w:eastAsia="ru-RU"/>
        </w:rPr>
        <w:t xml:space="preserve">о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выполнении соглашения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о порядке и условиях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предоставления субсидии на выполнение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муниципального задания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на оказание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муниципальных услуг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(выполнение работ)</w:t>
      </w:r>
      <w:r>
        <w:rPr>
          <w:color w:val="000000" w:themeColor="text1"/>
          <w:lang w:eastAsia="ru-RU"/>
        </w:rPr>
        <w:t xml:space="preserve">, </w:t>
      </w:r>
      <w:r>
        <w:rPr>
          <w:color w:val="000000" w:themeColor="text1"/>
          <w:lang w:eastAsia="ru-RU"/>
        </w:rPr>
        <w:t xml:space="preserve">«Предоставление отчётности о расходах»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Анализ хода реализации региональных проектов в рамках </w:t>
      </w:r>
      <w:r>
        <w:rPr>
          <w:b/>
          <w:i/>
          <w:color w:val="000000" w:themeColor="text1"/>
        </w:rPr>
        <w:t xml:space="preserve">НП «Туризм                       и гостеприимство»</w:t>
      </w:r>
      <w:r>
        <w:rPr>
          <w:color w:val="000000" w:themeColor="text1"/>
        </w:rPr>
        <w:t xml:space="preserve"> показал следующее.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</w:rPr>
        <w:t xml:space="preserve">В рамках реализации </w:t>
      </w:r>
      <w:r>
        <w:rPr>
          <w:b/>
          <w:color w:val="000000" w:themeColor="text1"/>
        </w:rPr>
        <w:t xml:space="preserve">РП «Создание номерного фонда, инфраструктуры и новых точек притяжения»</w:t>
      </w:r>
      <w:r>
        <w:rPr>
          <w:color w:val="000000" w:themeColor="text1"/>
        </w:rPr>
        <w:t xml:space="preserve"> по результатам конкурсного отбора кандидатов на предоставление субсидии юридическим лицам </w:t>
      </w:r>
      <w:r>
        <w:rPr>
          <w:color w:val="000000" w:themeColor="text1"/>
        </w:rPr>
        <w:t xml:space="preserve">на финансовое обеспечение затрат, связанных с созданием туристской инфраструктуры победителем признано ООО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«</w:t>
      </w:r>
      <w:r>
        <w:rPr>
          <w:color w:val="000000" w:themeColor="text1"/>
        </w:rPr>
        <w:t xml:space="preserve">Кутх</w:t>
      </w:r>
      <w:r>
        <w:rPr>
          <w:color w:val="000000" w:themeColor="text1"/>
        </w:rPr>
        <w:t xml:space="preserve"> Сервис» на создание </w:t>
      </w:r>
      <w:r>
        <w:rPr>
          <w:color w:val="000000" w:themeColor="text1"/>
        </w:rPr>
        <w:t xml:space="preserve">глэмпинг</w:t>
      </w:r>
      <w:r>
        <w:rPr>
          <w:color w:val="000000" w:themeColor="text1"/>
        </w:rPr>
        <w:t xml:space="preserve"> зоны, которому предоставлена субсидия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 26.08.2025. </w:t>
      </w:r>
      <w:r>
        <w:rPr>
          <w:color w:val="000000" w:themeColor="text1"/>
        </w:rPr>
        <w:t xml:space="preserve">В отчетном периоде фактическое выполнение отсутствует, </w:t>
      </w:r>
      <w:r>
        <w:rPr>
          <w:color w:val="000000" w:themeColor="text1"/>
        </w:rPr>
        <w:t xml:space="preserve">поскольку </w:t>
      </w:r>
      <w:r>
        <w:rPr>
          <w:color w:val="000000" w:themeColor="text1"/>
        </w:rPr>
        <w:t xml:space="preserve">в связи с поздним получением субсидии, коротким сроком навигации, выполнение соглашения не ре</w:t>
      </w:r>
      <w:r>
        <w:rPr>
          <w:color w:val="000000" w:themeColor="text1"/>
        </w:rPr>
        <w:t xml:space="preserve">ализовалось и было перенесено на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2026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год.</w:t>
      </w:r>
      <w:r>
        <w:rPr>
          <w:color w:val="000000" w:themeColor="text1"/>
        </w:rPr>
        <w:t xml:space="preserve"> 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Фактическое выполнение мероприятия отсутствует.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</w:rPr>
        <w:t xml:space="preserve">2.6.</w:t>
      </w:r>
      <w:r>
        <w:rPr>
          <w:color w:val="000000" w:themeColor="text1"/>
        </w:rPr>
        <w:t xml:space="preserve"> В рамках </w:t>
      </w:r>
      <w:r>
        <w:rPr>
          <w:color w:val="000000" w:themeColor="text1"/>
        </w:rPr>
        <w:t xml:space="preserve">НП «Экономика данных и цифровая трансформация государства»</w:t>
      </w:r>
      <w:r>
        <w:rPr>
          <w:color w:val="000000" w:themeColor="text1"/>
        </w:rPr>
        <w:t xml:space="preserve"> на территории Чукотского автономного округа реализу</w:t>
      </w:r>
      <w:r>
        <w:rPr>
          <w:color w:val="000000" w:themeColor="text1"/>
        </w:rPr>
        <w:t xml:space="preserve">ются три региональных проекта без финансового обеспечения в 2025 году, мероприятия которых интегрированы в государственные программы «Развитие образования   и науки Чукотского автономного округа» и «Информационное общество Чукотского автономного округа».  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По данным отчетов о ходе реализации региональных проектов </w:t>
      </w:r>
      <w:r>
        <w:rPr>
          <w:color w:val="000000" w:themeColor="text1"/>
          <w:lang w:eastAsia="ru-RU"/>
        </w:rPr>
        <w:t xml:space="preserve">за 2025 год, установленные паспортами региональных проектов: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6 из 6 </w:t>
      </w:r>
      <w:r>
        <w:rPr>
          <w:color w:val="000000" w:themeColor="text1"/>
          <w:lang w:eastAsia="ru-RU"/>
        </w:rPr>
        <w:t xml:space="preserve">показател</w:t>
      </w:r>
      <w:r>
        <w:rPr>
          <w:color w:val="000000" w:themeColor="text1"/>
          <w:lang w:eastAsia="ru-RU"/>
        </w:rPr>
        <w:t xml:space="preserve">ей </w:t>
      </w:r>
      <w:r>
        <w:rPr>
          <w:color w:val="000000" w:themeColor="text1"/>
          <w:lang w:eastAsia="ru-RU"/>
        </w:rPr>
        <w:t xml:space="preserve">достигнут</w:t>
      </w:r>
      <w:r>
        <w:rPr>
          <w:color w:val="000000" w:themeColor="text1"/>
          <w:lang w:eastAsia="ru-RU"/>
        </w:rPr>
        <w:t xml:space="preserve">ы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результат «</w:t>
      </w:r>
      <w:r>
        <w:rPr>
          <w:color w:val="000000" w:themeColor="text1"/>
          <w:lang w:eastAsia="ru-RU"/>
        </w:rPr>
        <w:t xml:space="preserve">Переход органов исполнительной власти на использование отечественного программного обеспечения</w:t>
      </w:r>
      <w:r>
        <w:rPr>
          <w:color w:val="000000" w:themeColor="text1"/>
          <w:lang w:eastAsia="ru-RU"/>
        </w:rPr>
        <w:t xml:space="preserve">» </w:t>
      </w:r>
      <w:r>
        <w:rPr>
          <w:color w:val="000000" w:themeColor="text1"/>
          <w:lang w:eastAsia="ru-RU"/>
        </w:rPr>
        <w:t xml:space="preserve">в рамках реализации РП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«Отечественные решения» </w:t>
      </w:r>
      <w:r>
        <w:rPr>
          <w:color w:val="000000" w:themeColor="text1"/>
          <w:lang w:eastAsia="ru-RU"/>
        </w:rPr>
        <w:t xml:space="preserve">достигнут</w:t>
      </w:r>
      <w:r>
        <w:rPr>
          <w:color w:val="000000" w:themeColor="text1"/>
          <w:lang w:eastAsia="ru-RU"/>
        </w:rPr>
        <w:t xml:space="preserve"> на уровне 53 %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5</w:t>
      </w:r>
      <w:r>
        <w:rPr>
          <w:color w:val="000000" w:themeColor="text1"/>
          <w:lang w:eastAsia="ru-RU"/>
        </w:rPr>
        <w:t xml:space="preserve"> из </w:t>
      </w:r>
      <w:r>
        <w:rPr>
          <w:color w:val="000000" w:themeColor="text1"/>
          <w:lang w:eastAsia="ru-RU"/>
        </w:rPr>
        <w:t xml:space="preserve">6</w:t>
      </w:r>
      <w:r>
        <w:rPr>
          <w:color w:val="000000" w:themeColor="text1"/>
          <w:lang w:eastAsia="ru-RU"/>
        </w:rPr>
        <w:t xml:space="preserve"> контрольных точек достигнуты</w:t>
      </w:r>
      <w:r>
        <w:rPr>
          <w:color w:val="000000" w:themeColor="text1"/>
          <w:lang w:eastAsia="ru-RU"/>
        </w:rPr>
        <w:t xml:space="preserve">, не достигнута контрольная точка «Услуга оказана (работы выполнены)» по РП «Отечественные решения»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</w:rPr>
        <w:t xml:space="preserve">2.7.</w:t>
      </w:r>
      <w:r>
        <w:rPr>
          <w:color w:val="000000" w:themeColor="text1"/>
        </w:rPr>
        <w:t xml:space="preserve"> В рамках </w:t>
      </w:r>
      <w:r>
        <w:rPr>
          <w:color w:val="000000" w:themeColor="text1"/>
        </w:rPr>
        <w:t xml:space="preserve">НП «Экологическое благополучие»</w:t>
      </w:r>
      <w:r>
        <w:rPr>
          <w:color w:val="000000" w:themeColor="text1"/>
        </w:rPr>
        <w:t xml:space="preserve"> на территории Чукотского автономного округа реализуются три региональных проекта </w:t>
      </w:r>
      <w:r>
        <w:rPr>
          <w:color w:val="000000" w:themeColor="text1"/>
        </w:rPr>
        <w:t xml:space="preserve">без финансового обеспечения в 2025 году, мер</w:t>
      </w:r>
      <w:r>
        <w:rPr>
          <w:color w:val="000000" w:themeColor="text1"/>
        </w:rPr>
        <w:t xml:space="preserve">оприятия которых интегрированы в государственные программы «Охрана окружающей среды </w:t>
      </w:r>
      <w:r>
        <w:rPr>
          <w:color w:val="000000" w:themeColor="text1"/>
        </w:rPr>
        <w:t xml:space="preserve">и обеспечение рационального природопользования в Чукотском автономном </w:t>
      </w:r>
      <w:r>
        <w:rPr>
          <w:color w:val="000000" w:themeColor="text1"/>
          <w:lang w:eastAsia="ru-RU"/>
        </w:rPr>
        <w:t xml:space="preserve">округе», «Развитие системы обращения с отходами в Чукотском автономном округе» и «Развитие лесного хозяйства Чукотского автономного округа».  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По данным отчетов о ходе реализации региональных проектов </w:t>
      </w:r>
      <w:r>
        <w:rPr>
          <w:color w:val="000000" w:themeColor="text1"/>
          <w:lang w:eastAsia="ru-RU"/>
        </w:rPr>
        <w:t xml:space="preserve">за 2025 год, установленные паспортами региональных проектов: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- 7 из 7 показателей достигнуты;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1 из 2 </w:t>
      </w:r>
      <w:r>
        <w:rPr>
          <w:color w:val="000000" w:themeColor="text1"/>
          <w:lang w:eastAsia="ru-RU"/>
        </w:rPr>
        <w:t xml:space="preserve">результат</w:t>
      </w:r>
      <w:r>
        <w:rPr>
          <w:color w:val="000000" w:themeColor="text1"/>
          <w:lang w:eastAsia="ru-RU"/>
        </w:rPr>
        <w:t xml:space="preserve">ов достигнут, не достигнут результат </w:t>
      </w:r>
      <w:r>
        <w:rPr>
          <w:color w:val="000000" w:themeColor="text1"/>
          <w:lang w:eastAsia="ru-RU"/>
        </w:rPr>
        <w:t xml:space="preserve">«</w:t>
      </w:r>
      <w:r>
        <w:rPr>
          <w:color w:val="000000" w:themeColor="text1"/>
          <w:lang w:eastAsia="ru-RU"/>
        </w:rPr>
        <w:t xml:space="preserve">Ликвидированы объекты накопленного вреда окружающей среде</w:t>
      </w:r>
      <w:r>
        <w:rPr>
          <w:color w:val="000000" w:themeColor="text1"/>
          <w:lang w:eastAsia="ru-RU"/>
        </w:rPr>
        <w:t xml:space="preserve">» в рамках реализации РП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«Генеральная уборка»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10</w:t>
      </w:r>
      <w:r>
        <w:rPr>
          <w:color w:val="000000" w:themeColor="text1"/>
          <w:lang w:eastAsia="ru-RU"/>
        </w:rPr>
        <w:t xml:space="preserve"> из </w:t>
      </w:r>
      <w:r>
        <w:rPr>
          <w:color w:val="000000" w:themeColor="text1"/>
          <w:lang w:eastAsia="ru-RU"/>
        </w:rPr>
        <w:t xml:space="preserve">10</w:t>
      </w:r>
      <w:r>
        <w:rPr>
          <w:color w:val="000000" w:themeColor="text1"/>
          <w:lang w:eastAsia="ru-RU"/>
        </w:rPr>
        <w:t xml:space="preserve"> контрольных точек достигнуты.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lang w:eastAsia="ru-RU"/>
        </w:rPr>
        <w:t xml:space="preserve">По состоянию на </w:t>
      </w:r>
      <w:r>
        <w:rPr>
          <w:color w:val="000000" w:themeColor="text1"/>
          <w:lang w:eastAsia="ru-RU"/>
        </w:rPr>
        <w:t xml:space="preserve">1 января 2026 года имеется д</w:t>
      </w:r>
      <w:r>
        <w:rPr>
          <w:color w:val="000000" w:themeColor="text1"/>
          <w:lang w:eastAsia="ru-RU"/>
        </w:rPr>
        <w:t xml:space="preserve">ебиторская задолженность в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объеме 126 905,8 тыс. рублей</w:t>
      </w:r>
      <w:r>
        <w:rPr>
          <w:color w:val="000000" w:themeColor="text1"/>
          <w:lang w:eastAsia="ru-RU"/>
        </w:rPr>
        <w:t xml:space="preserve"> (</w:t>
      </w:r>
      <w:r>
        <w:rPr>
          <w:color w:val="000000" w:themeColor="text1"/>
          <w:lang w:eastAsia="ru-RU"/>
        </w:rPr>
        <w:t xml:space="preserve">счет 205.51</w:t>
      </w:r>
      <w:r>
        <w:rPr>
          <w:color w:val="000000" w:themeColor="text1"/>
          <w:lang w:eastAsia="ru-RU"/>
        </w:rPr>
        <w:t xml:space="preserve"> «</w:t>
      </w:r>
      <w:r>
        <w:rPr>
          <w:color w:val="000000" w:themeColor="text1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асчеты по поступлениям текущего характера от других бюджетов бюджетной системы Российской Федерации»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, числящаяся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Департаментом природный ресурсов и экологии Чукотского автономного округа,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«Экология»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по РП «Чистая страна»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рекультивацию санкционированной свалки ТКО ГО Анадырь общей стоимостью 307 167,5 тыс. рублей и сроком исполнения 06.12.2023. По состоянию на 1 января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сумма, перечисленных Подрядчику, средств составила 174 269,5 тыс. рублей (авансовые платежи 2022-2023 годов), фактически выполнены работы (подготовительные работы, перемещение отходов из левой части свалки в правую, в том числе работ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обустройству основания свалки для устройства изоляционного слоя) на сумму 47 363,7 тыс. рублей. По данным ЕИС контракт расторгнут 08.10.2024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ведется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судебный процесс между Администрацией 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Анадырь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ООО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Экострой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рамках МК №37 от 17.06.2022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2.8.</w:t>
      </w:r>
      <w:r>
        <w:rPr>
          <w:color w:val="000000" w:themeColor="text1"/>
          <w:lang w:eastAsia="ru-RU"/>
        </w:rPr>
        <w:t xml:space="preserve"> В рамках </w:t>
      </w:r>
      <w:r>
        <w:rPr>
          <w:color w:val="000000" w:themeColor="text1"/>
          <w:lang w:eastAsia="ru-RU"/>
        </w:rPr>
        <w:t xml:space="preserve">НП «Эффективная и конкурентная </w:t>
      </w:r>
      <w:r>
        <w:rPr>
          <w:color w:val="000000" w:themeColor="text1"/>
          <w:lang w:eastAsia="ru-RU"/>
        </w:rPr>
        <w:t xml:space="preserve">экономика»</w:t>
      </w:r>
      <w:r>
        <w:rPr>
          <w:color w:val="000000" w:themeColor="text1"/>
          <w:lang w:eastAsia="ru-RU"/>
        </w:rPr>
        <w:t xml:space="preserve">  </w:t>
      </w:r>
      <w:r>
        <w:rPr>
          <w:color w:val="000000" w:themeColor="text1"/>
          <w:lang w:eastAsia="ru-RU"/>
        </w:rPr>
        <w:t xml:space="preserve">        </w:t>
      </w:r>
      <w:r>
        <w:rPr>
          <w:color w:val="000000" w:themeColor="text1"/>
          <w:lang w:eastAsia="ru-RU"/>
        </w:rPr>
        <w:t xml:space="preserve">                          на территории Чукотского автономного округа реализуются два региональных проекта, мероприятия которых интегрированы в государственную программу «Стимулирование экономической активности населения Чукотского автономного округа». По </w:t>
      </w:r>
      <w:r>
        <w:rPr>
          <w:color w:val="000000" w:themeColor="text1"/>
          <w:lang w:eastAsia="ru-RU"/>
        </w:rPr>
        <w:t xml:space="preserve">РП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«Производительность труда»</w:t>
      </w:r>
      <w:r>
        <w:rPr>
          <w:color w:val="000000" w:themeColor="text1"/>
          <w:lang w:eastAsia="ru-RU"/>
        </w:rPr>
        <w:t xml:space="preserve"> финансовое обеспечение не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предусмотрено.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На реализацию регионального проекта </w:t>
      </w:r>
      <w:r>
        <w:rPr>
          <w:color w:val="000000" w:themeColor="text1"/>
          <w:lang w:eastAsia="ru-RU"/>
        </w:rPr>
        <w:t xml:space="preserve">НП «Эффективная                                                и конкурентная экономика»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 </w:t>
      </w:r>
      <w:r>
        <w:rPr>
          <w:color w:val="000000" w:themeColor="text1"/>
          <w:lang w:eastAsia="ru-RU"/>
        </w:rPr>
        <w:t xml:space="preserve">из окружного бюджета направлено 4 429,9 тыс. рублей (из них 4 385,6 тыс. рублей – средства федерального бюджета) или 100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% от утвержденных сводной бюджетной росписью ассигнований. Ф</w:t>
      </w:r>
      <w:r>
        <w:rPr>
          <w:color w:val="000000" w:themeColor="text1"/>
          <w:lang w:eastAsia="ru-RU"/>
        </w:rPr>
        <w:t xml:space="preserve">актическое выполне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ние мероприятий региональн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проект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составило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21 011,0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тыс. рублей,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18 468,2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 за счет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-2024 годов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рамках реализации </w:t>
      </w:r>
      <w:r>
        <w:rPr>
          <w:color w:val="000000" w:themeColor="text1"/>
          <w:lang w:eastAsia="ru-RU"/>
        </w:rPr>
        <w:t xml:space="preserve">национального проекта прошлых лет</w:t>
      </w:r>
      <w:r>
        <w:rPr>
          <w:color w:val="000000" w:themeColor="text1"/>
          <w:lang w:eastAsia="ru-RU"/>
        </w:rPr>
        <w:t xml:space="preserve"> «</w:t>
      </w:r>
      <w:r>
        <w:rPr>
          <w:color w:val="000000" w:themeColor="text1"/>
          <w:lang w:eastAsia="ru-RU"/>
        </w:rPr>
        <w:t xml:space="preserve">Малое и среднее предпринимательство и поддержка индивидуальной предпринимательской инициативы</w:t>
      </w:r>
      <w:r>
        <w:rPr>
          <w:color w:val="000000" w:themeColor="text1"/>
          <w:lang w:eastAsia="ru-RU"/>
        </w:rPr>
        <w:t xml:space="preserve">»</w:t>
      </w:r>
      <w:r>
        <w:rPr>
          <w:color w:val="000000" w:themeColor="text1"/>
          <w:lang w:eastAsia="ru-RU"/>
        </w:rPr>
        <w:t xml:space="preserve">. 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lang w:eastAsia="ru-RU"/>
        </w:rPr>
        <w:t xml:space="preserve">Дебиторская задолженность по состоянию на </w:t>
      </w:r>
      <w:r>
        <w:rPr>
          <w:color w:val="000000" w:themeColor="text1"/>
          <w:lang w:eastAsia="ru-RU"/>
        </w:rPr>
        <w:t xml:space="preserve">1 января 2026 года </w:t>
      </w:r>
      <w:r>
        <w:rPr>
          <w:color w:val="000000" w:themeColor="text1"/>
          <w:lang w:eastAsia="ru-RU"/>
        </w:rPr>
        <w:t xml:space="preserve">составила 17 164,7 тыс. рублей</w:t>
      </w:r>
      <w:r>
        <w:rPr>
          <w:color w:val="000000" w:themeColor="text1"/>
          <w:lang w:eastAsia="ru-RU"/>
        </w:rPr>
        <w:t xml:space="preserve">, из них 15 277,6 тыс. рублей</w:t>
      </w:r>
      <w:r>
        <w:rPr>
          <w:color w:val="000000" w:themeColor="text1"/>
          <w:lang w:eastAsia="ru-RU"/>
        </w:rPr>
        <w:t xml:space="preserve"> средства </w:t>
      </w:r>
      <w:r>
        <w:rPr>
          <w:color w:val="000000" w:themeColor="text1"/>
          <w:lang w:eastAsia="ru-RU"/>
        </w:rPr>
        <w:t xml:space="preserve">2020-2024 годов</w:t>
      </w:r>
      <w:r>
        <w:rPr>
          <w:color w:val="000000" w:themeColor="text1"/>
          <w:lang w:eastAsia="ru-RU"/>
        </w:rPr>
        <w:t xml:space="preserve"> в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рамках реализац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Малое и среднее предпринимательство и поддержка индивидуальной предпринимательской инициативы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(рис. 7).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</w:rPr>
        <w:drawing>
          <wp:inline distT="0" distB="0" distL="0" distR="0">
            <wp:extent cx="5943600" cy="1206500"/>
            <wp:effectExtent l="0" t="0" r="0" b="1270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pStyle w:val="4482"/>
        <w:jc w:val="center"/>
        <w:spacing w:before="0" w:beforeAutospacing="0" w:after="0" w:afterAutospacing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Рис. 7 (тыс. рублей)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57" w:right="57" w:hanging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6"/>
          <w:szCs w:val="6"/>
        </w:rPr>
      </w:pPr>
      <w:r>
        <w:rPr>
          <w:rFonts w:ascii="Times New Roman" w:hAnsi="Times New Roman" w:cs="Times New Roman"/>
          <w:color w:val="000000" w:themeColor="text1"/>
          <w:sz w:val="6"/>
          <w:szCs w:val="6"/>
        </w:rPr>
      </w:r>
      <w:r>
        <w:rPr>
          <w:rFonts w:ascii="Times New Roman" w:hAnsi="Times New Roman" w:cs="Times New Roman"/>
          <w:color w:val="000000" w:themeColor="text1"/>
          <w:sz w:val="6"/>
          <w:szCs w:val="6"/>
        </w:rPr>
      </w:r>
      <w:r>
        <w:rPr>
          <w:rFonts w:ascii="Times New Roman" w:hAnsi="Times New Roman" w:cs="Times New Roman"/>
          <w:color w:val="000000" w:themeColor="text1"/>
          <w:sz w:val="6"/>
          <w:szCs w:val="6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По данным отчетов о ходе реализации региональных проектов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за 2025 год, установленные паспортами региональных проектов: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- 3 из 3 показателей достигнуты;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- 5 из 8 результатов достигнуты, не достигнуты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результаты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Субъектами малого и среднего предпринимательства обеспечено привлечение финансирования за счет поручительств (независимых гарантий) фондов содействия кредитованию (гарантийных фондов, фондов поручительств)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»,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Субъектам малого и среднего предпр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инимательства обеспечен льготный доступ к заемным средствам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реализации РП «Малое и среднее предпринимательство и поддержка индивидуальной предпринимательской инициативы»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Внедрены инструменты по повышению производительности труда во всех государственных и муниципальных организациях социальной сферы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реализации РП «Производительность труда»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 все 37 контрольных точек достигнуты.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Анализ хода реализации региональных проектов в рамках                                     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НП «Эффективная и конкурентная экономика»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показал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</w:rPr>
        <w:t xml:space="preserve">В рамках реализации </w:t>
      </w:r>
      <w:r>
        <w:rPr>
          <w:b/>
          <w:color w:val="000000" w:themeColor="text1"/>
        </w:rPr>
        <w:t xml:space="preserve">РП «Малое и среднее предпринимательство                               и поддержка индивидуальной предпринимательской инициативы»</w:t>
      </w:r>
      <w:r>
        <w:rPr>
          <w:color w:val="000000" w:themeColor="text1"/>
        </w:rPr>
        <w:t xml:space="preserve"> предусмотрено предоставление субсидии некоммер</w:t>
      </w:r>
      <w:r>
        <w:rPr>
          <w:color w:val="000000" w:themeColor="text1"/>
        </w:rPr>
        <w:t xml:space="preserve">ческим организациям                             на финансовое обеспечение затрат, связанных с предоставлением услуг субъектам малого и среднего предпринимательства, а также гражданам, желающим вести бизнес. По итогам конкурсного отбора победителем признана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НО «Фонд развития экономики и прямых инвестиций Чукотского автономного округа», которой предоставлена субсидия </w:t>
      </w:r>
      <w:r>
        <w:rPr>
          <w:color w:val="000000" w:themeColor="text1"/>
        </w:rPr>
        <w:t xml:space="preserve">в объеме </w:t>
      </w:r>
      <w:r>
        <w:rPr>
          <w:color w:val="000000" w:themeColor="text1"/>
        </w:rPr>
        <w:t xml:space="preserve">4 429,9 тыс. рублей </w:t>
      </w:r>
      <w:r>
        <w:rPr>
          <w:color w:val="000000" w:themeColor="text1"/>
        </w:rPr>
        <w:t xml:space="preserve">от 11.08.2025.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Фактическое выполнение мероприятия составило </w:t>
      </w:r>
      <w:r>
        <w:rPr>
          <w:color w:val="000000" w:themeColor="text1"/>
          <w:lang w:eastAsia="ru-RU"/>
        </w:rPr>
        <w:t xml:space="preserve">2 542,8 тыс. рублей или 57,4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% от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полученного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Также, в отчетном отмечено выполнение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в объеме 18 468,2 тыс. рублей </w:t>
      </w:r>
      <w:r>
        <w:rPr>
          <w:color w:val="000000" w:themeColor="text1"/>
          <w:lang w:eastAsia="ru-RU"/>
        </w:rPr>
        <w:t xml:space="preserve">в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  <w:lang w:eastAsia="ru-RU"/>
        </w:rPr>
        <w:t xml:space="preserve"> «</w:t>
      </w:r>
      <w:r>
        <w:rPr>
          <w:color w:val="000000" w:themeColor="text1"/>
        </w:rPr>
        <w:t xml:space="preserve">Малое и среднее предпринимательство и поддержка индивидуальной предпринимательской инициативы</w:t>
      </w:r>
      <w:r>
        <w:rPr>
          <w:color w:val="000000" w:themeColor="text1"/>
          <w:lang w:eastAsia="ru-RU"/>
        </w:rPr>
        <w:t xml:space="preserve">» по </w:t>
      </w:r>
      <w:r>
        <w:rPr>
          <w:color w:val="000000" w:themeColor="text1"/>
          <w:lang w:eastAsia="ru-RU"/>
        </w:rPr>
        <w:t xml:space="preserve">тре</w:t>
      </w:r>
      <w:r>
        <w:rPr>
          <w:color w:val="000000" w:themeColor="text1"/>
          <w:lang w:eastAsia="ru-RU"/>
        </w:rPr>
        <w:t xml:space="preserve">м</w:t>
      </w:r>
      <w:r>
        <w:rPr>
          <w:color w:val="000000" w:themeColor="text1"/>
          <w:lang w:eastAsia="ru-RU"/>
        </w:rPr>
        <w:t xml:space="preserve"> региональны</w:t>
      </w:r>
      <w:r>
        <w:rPr>
          <w:color w:val="000000" w:themeColor="text1"/>
          <w:lang w:eastAsia="ru-RU"/>
        </w:rPr>
        <w:t xml:space="preserve">м</w:t>
      </w:r>
      <w:r>
        <w:rPr>
          <w:color w:val="000000" w:themeColor="text1"/>
          <w:lang w:eastAsia="ru-RU"/>
        </w:rPr>
        <w:t xml:space="preserve"> проект</w:t>
      </w:r>
      <w:r>
        <w:rPr>
          <w:color w:val="000000" w:themeColor="text1"/>
          <w:lang w:eastAsia="ru-RU"/>
        </w:rPr>
        <w:t xml:space="preserve">ам</w:t>
      </w:r>
      <w:r>
        <w:rPr>
          <w:color w:val="000000" w:themeColor="text1"/>
          <w:lang w:eastAsia="ru-RU"/>
        </w:rPr>
        <w:t xml:space="preserve"> «Создание благоприятных условий для осуществления деятельности самозанятыми гражданами («Поддержка самозанятых»)», «Создание условий для легкого старта </w:t>
      </w:r>
      <w:r>
        <w:rPr>
          <w:color w:val="000000" w:themeColor="text1"/>
          <w:lang w:eastAsia="ru-RU"/>
        </w:rPr>
        <w:t xml:space="preserve">и комфортного ведения бизнеса («</w:t>
      </w:r>
      <w:r>
        <w:rPr>
          <w:color w:val="000000" w:themeColor="text1"/>
          <w:lang w:eastAsia="ru-RU"/>
        </w:rPr>
        <w:t xml:space="preserve">Предакселерация</w:t>
      </w:r>
      <w:r>
        <w:rPr>
          <w:color w:val="000000" w:themeColor="text1"/>
          <w:lang w:eastAsia="ru-RU"/>
        </w:rPr>
        <w:t xml:space="preserve">»)» и «Акселерация субъектов малого и среднего предпринимательства»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b/>
          <w:color w:val="000000" w:themeColor="text1"/>
        </w:rPr>
        <w:t xml:space="preserve">2.9.</w:t>
      </w:r>
      <w:r>
        <w:rPr>
          <w:color w:val="000000" w:themeColor="text1"/>
        </w:rPr>
        <w:t xml:space="preserve"> В рамках </w:t>
      </w:r>
      <w:r>
        <w:rPr>
          <w:b/>
          <w:i/>
          <w:color w:val="000000" w:themeColor="text1"/>
        </w:rPr>
        <w:t xml:space="preserve">НП «Молодежь и дети»</w:t>
      </w:r>
      <w:r>
        <w:rPr>
          <w:color w:val="000000" w:themeColor="text1"/>
        </w:rPr>
        <w:t xml:space="preserve"> на территории Чукотского автономного округа реализуются пять региональных проектов, мероприятия которых интегрированы в государственную программу «Развитие образования                    и науки Чукотского автономного округа». По </w:t>
      </w:r>
      <w:r>
        <w:rPr>
          <w:b/>
          <w:color w:val="000000" w:themeColor="text1"/>
        </w:rPr>
        <w:t xml:space="preserve">РП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«Россия </w:t>
      </w:r>
      <w:r>
        <w:rPr>
          <w:b/>
          <w:color w:val="000000" w:themeColor="text1"/>
        </w:rPr>
        <w:t xml:space="preserve">–</w:t>
      </w:r>
      <w:r>
        <w:rPr>
          <w:b/>
          <w:color w:val="000000" w:themeColor="text1"/>
        </w:rPr>
        <w:t xml:space="preserve"> страна возможностей»</w:t>
      </w:r>
      <w:r>
        <w:rPr>
          <w:color w:val="000000" w:themeColor="text1"/>
        </w:rPr>
        <w:t xml:space="preserve"> и </w:t>
      </w:r>
      <w:r>
        <w:rPr>
          <w:b/>
          <w:color w:val="000000" w:themeColor="text1"/>
        </w:rPr>
        <w:t xml:space="preserve">РП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«</w:t>
      </w:r>
      <w:r>
        <w:rPr>
          <w:b/>
          <w:color w:val="000000" w:themeColor="text1"/>
        </w:rPr>
        <w:t xml:space="preserve">Профессионалитет</w:t>
      </w:r>
      <w:r>
        <w:rPr>
          <w:b/>
          <w:color w:val="000000" w:themeColor="text1"/>
        </w:rPr>
        <w:t xml:space="preserve">»</w:t>
      </w:r>
      <w:r>
        <w:rPr>
          <w:color w:val="000000" w:themeColor="text1"/>
        </w:rPr>
        <w:t xml:space="preserve"> финансовое обеспечение не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предусмотрено.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реализацию региональных проектов </w:t>
      </w:r>
      <w:r>
        <w:rPr>
          <w:b/>
          <w:i/>
          <w:color w:val="000000" w:themeColor="text1"/>
        </w:rPr>
        <w:t xml:space="preserve">НП «Молодежь и дети»                                   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отчетном периоде</w:t>
      </w:r>
      <w:r>
        <w:rPr>
          <w:color w:val="000000" w:themeColor="text1"/>
        </w:rPr>
        <w:t xml:space="preserve"> из окружного бюджета направлено 470 649,1 тыс. рублей (из</w:t>
      </w:r>
      <w:r>
        <w:rPr>
          <w:color w:val="000000" w:themeColor="text1"/>
          <w:lang w:val="en-US"/>
        </w:rPr>
        <w:t xml:space="preserve"> </w:t>
      </w:r>
      <w:r>
        <w:rPr>
          <w:color w:val="000000" w:themeColor="text1"/>
        </w:rPr>
        <w:t xml:space="preserve">них 443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081,8 тыс. рублей – средства федерального бюджета) или </w:t>
      </w:r>
      <w:r>
        <w:rPr>
          <w:color w:val="000000" w:themeColor="text1"/>
        </w:rPr>
        <w:t xml:space="preserve">99,1 %  от</w:t>
      </w:r>
      <w:r>
        <w:rPr>
          <w:color w:val="000000" w:themeColor="text1"/>
          <w:lang w:val="en-US"/>
        </w:rPr>
        <w:t xml:space="preserve"> </w:t>
      </w:r>
      <w:r>
        <w:rPr>
          <w:color w:val="000000" w:themeColor="text1"/>
        </w:rPr>
        <w:t xml:space="preserve">утвержденных сводной бюджетной росписью ассигнований. </w:t>
      </w:r>
      <w:r>
        <w:rPr>
          <w:color w:val="000000" w:themeColor="text1"/>
        </w:rPr>
        <w:t xml:space="preserve">Ф</w:t>
      </w:r>
      <w:r>
        <w:rPr>
          <w:rFonts w:eastAsia="Times New Roman"/>
          <w:color w:val="000000" w:themeColor="text1"/>
          <w:lang w:eastAsia="ru-RU"/>
        </w:rPr>
        <w:t xml:space="preserve">актическое выполнение мероприятий региональных проектов составило 512 244,6</w:t>
      </w:r>
      <w:r>
        <w:rPr>
          <w:rFonts w:eastAsia="Times New Roman"/>
          <w:color w:val="000000" w:themeColor="text1"/>
          <w:lang w:val="en-US"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тыс.</w:t>
      </w:r>
      <w:r>
        <w:rPr>
          <w:rFonts w:eastAsia="Times New Roman"/>
          <w:color w:val="000000" w:themeColor="text1"/>
          <w:lang w:val="en-US"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рублей, </w:t>
      </w:r>
      <w:r>
        <w:rPr>
          <w:color w:val="000000" w:themeColor="text1"/>
        </w:rPr>
        <w:t xml:space="preserve">из них 41 595,5 тыс. рублей за счет средств </w:t>
      </w:r>
      <w:r>
        <w:rPr>
          <w:color w:val="000000" w:themeColor="text1"/>
        </w:rPr>
        <w:t xml:space="preserve">2021-2024 годов </w:t>
      </w:r>
      <w:r>
        <w:rPr>
          <w:rFonts w:eastAsia="Times New Roman"/>
          <w:color w:val="000000" w:themeColor="text1"/>
          <w:lang w:eastAsia="ru-RU"/>
        </w:rPr>
        <w:t xml:space="preserve">в 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  <w:lang w:eastAsia="ru-RU"/>
        </w:rPr>
        <w:t xml:space="preserve"> «Образование»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rFonts w:eastAsia="Times New Roman"/>
          <w:color w:val="000000" w:themeColor="text1"/>
          <w:lang w:eastAsia="ru-RU"/>
        </w:rPr>
        <w:t xml:space="preserve">Просроченная д</w:t>
      </w:r>
      <w:r>
        <w:rPr>
          <w:rFonts w:eastAsia="Times New Roman"/>
          <w:color w:val="000000" w:themeColor="text1"/>
          <w:lang w:eastAsia="ru-RU"/>
        </w:rPr>
        <w:t xml:space="preserve">ебиторская задолженность по состоянию на </w:t>
      </w:r>
      <w:r>
        <w:rPr>
          <w:color w:val="000000" w:themeColor="text1"/>
        </w:rPr>
        <w:t xml:space="preserve">1 января 2026 года </w:t>
      </w:r>
      <w:r>
        <w:rPr>
          <w:rFonts w:eastAsia="Times New Roman"/>
          <w:color w:val="000000" w:themeColor="text1"/>
          <w:lang w:eastAsia="ru-RU"/>
        </w:rPr>
        <w:t xml:space="preserve">составила </w:t>
      </w:r>
      <w:r>
        <w:rPr>
          <w:rFonts w:eastAsia="Times New Roman"/>
          <w:color w:val="000000" w:themeColor="text1"/>
          <w:lang w:eastAsia="ru-RU"/>
        </w:rPr>
        <w:t xml:space="preserve">443 203,9</w:t>
      </w:r>
      <w:r>
        <w:rPr>
          <w:rFonts w:eastAsia="Times New Roman"/>
          <w:color w:val="000000" w:themeColor="text1"/>
          <w:lang w:eastAsia="ru-RU"/>
        </w:rPr>
        <w:t xml:space="preserve"> тыс. </w:t>
      </w:r>
      <w:r>
        <w:rPr>
          <w:rFonts w:eastAsia="Times New Roman"/>
          <w:color w:val="000000" w:themeColor="text1"/>
          <w:lang w:eastAsia="ru-RU"/>
        </w:rPr>
        <w:t xml:space="preserve">рублей </w:t>
      </w:r>
      <w:r>
        <w:rPr>
          <w:rFonts w:eastAsia="Times New Roman"/>
          <w:color w:val="000000" w:themeColor="text1"/>
          <w:lang w:eastAsia="ru-RU"/>
        </w:rPr>
        <w:t xml:space="preserve">в 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  <w:lang w:eastAsia="ru-RU"/>
        </w:rPr>
        <w:t xml:space="preserve"> «</w:t>
      </w:r>
      <w:r>
        <w:rPr>
          <w:color w:val="000000" w:themeColor="text1"/>
          <w:lang w:eastAsia="ru-RU"/>
        </w:rPr>
        <w:t xml:space="preserve">Образование</w:t>
      </w:r>
      <w:r>
        <w:rPr>
          <w:color w:val="000000" w:themeColor="text1"/>
          <w:lang w:eastAsia="ru-RU"/>
        </w:rPr>
        <w:t xml:space="preserve">» </w:t>
      </w:r>
      <w:r>
        <w:rPr>
          <w:color w:val="000000" w:themeColor="text1"/>
        </w:rPr>
        <w:t xml:space="preserve">(рис. 8).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6"/>
          <w:szCs w:val="6"/>
        </w:rPr>
      </w:pP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</w:p>
    <w:p>
      <w:pPr>
        <w:pStyle w:val="4482"/>
        <w:ind w:firstLine="0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drawing>
          <wp:inline distT="0" distB="0" distL="0" distR="0">
            <wp:extent cx="5943600" cy="1139948"/>
            <wp:effectExtent l="4680" t="4680" r="4680" b="4680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57" w:firstLine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Рис.8 (тыс. 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ублей)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4482"/>
        <w:spacing w:before="0" w:beforeAutospacing="0" w:after="0" w:afterAutospacing="0" w:line="240" w:lineRule="auto"/>
        <w:tabs>
          <w:tab w:val="left" w:pos="709" w:leader="none"/>
        </w:tabs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По данным отчетов о ходе реализации региональных проектов </w:t>
      </w:r>
      <w:r>
        <w:rPr>
          <w:color w:val="000000" w:themeColor="text1"/>
          <w:lang w:eastAsia="ru-RU"/>
        </w:rPr>
        <w:t xml:space="preserve">за 2025 год, установленные паспортами региональных проектов: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tabs>
          <w:tab w:val="left" w:pos="709" w:leader="none"/>
        </w:tabs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все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10</w:t>
      </w:r>
      <w:r>
        <w:rPr>
          <w:color w:val="000000" w:themeColor="text1"/>
          <w:lang w:eastAsia="ru-RU"/>
        </w:rPr>
        <w:t xml:space="preserve"> показателей достигнуты;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tabs>
          <w:tab w:val="left" w:pos="709" w:leader="none"/>
        </w:tabs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все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15</w:t>
      </w:r>
      <w:r>
        <w:rPr>
          <w:color w:val="000000" w:themeColor="text1"/>
          <w:lang w:eastAsia="ru-RU"/>
        </w:rPr>
        <w:t xml:space="preserve"> результатов достигнуты;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tabs>
          <w:tab w:val="left" w:pos="709" w:leader="none"/>
        </w:tabs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все </w:t>
      </w:r>
      <w:r>
        <w:rPr>
          <w:color w:val="000000" w:themeColor="text1"/>
          <w:lang w:eastAsia="ru-RU"/>
        </w:rPr>
        <w:t xml:space="preserve">105</w:t>
      </w:r>
      <w:r>
        <w:rPr>
          <w:color w:val="000000" w:themeColor="text1"/>
          <w:lang w:eastAsia="ru-RU"/>
        </w:rPr>
        <w:t xml:space="preserve"> контрольных точек достигнуты.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tabs>
          <w:tab w:val="left" w:pos="709" w:leader="none"/>
        </w:tabs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Анализ хода реализации региональных проектов в рамках </w:t>
      </w:r>
      <w:r>
        <w:rPr>
          <w:rFonts w:eastAsia="Times New Roman"/>
          <w:b/>
          <w:i/>
          <w:color w:val="000000" w:themeColor="text1"/>
          <w:lang w:eastAsia="ru-RU"/>
        </w:rPr>
        <w:t xml:space="preserve">НП</w:t>
      </w:r>
      <w:r>
        <w:rPr>
          <w:rFonts w:eastAsia="Times New Roman"/>
          <w:b/>
          <w:i/>
          <w:color w:val="000000" w:themeColor="text1"/>
          <w:lang w:val="en-US" w:eastAsia="ru-RU"/>
        </w:rPr>
        <w:t xml:space="preserve"> </w:t>
      </w:r>
      <w:r>
        <w:rPr>
          <w:rFonts w:eastAsia="Times New Roman"/>
          <w:b/>
          <w:i/>
          <w:color w:val="000000" w:themeColor="text1"/>
          <w:lang w:eastAsia="ru-RU"/>
        </w:rPr>
        <w:t xml:space="preserve">«</w:t>
      </w:r>
      <w:r>
        <w:rPr>
          <w:b/>
          <w:i/>
          <w:color w:val="000000" w:themeColor="text1"/>
        </w:rPr>
        <w:t xml:space="preserve">Молодежь и дети</w:t>
      </w:r>
      <w:r>
        <w:rPr>
          <w:rFonts w:eastAsia="Times New Roman"/>
          <w:b/>
          <w:i/>
          <w:color w:val="000000" w:themeColor="text1"/>
          <w:lang w:eastAsia="ru-RU"/>
        </w:rPr>
        <w:t xml:space="preserve">»</w:t>
      </w:r>
      <w:r>
        <w:rPr>
          <w:rFonts w:eastAsia="Times New Roman"/>
          <w:color w:val="000000" w:themeColor="text1"/>
          <w:lang w:eastAsia="ru-RU"/>
        </w:rPr>
        <w:t xml:space="preserve"> показал следующее.</w:t>
      </w: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1) В</w:t>
      </w:r>
      <w:r>
        <w:rPr>
          <w:color w:val="000000" w:themeColor="text1"/>
        </w:rPr>
        <w:t xml:space="preserve"> ходе реализации </w:t>
      </w:r>
      <w:r>
        <w:rPr>
          <w:color w:val="000000" w:themeColor="text1"/>
          <w:lang w:eastAsia="ru-RU"/>
        </w:rPr>
        <w:t xml:space="preserve">мероприятий </w:t>
      </w:r>
      <w:r>
        <w:rPr>
          <w:b/>
          <w:color w:val="000000" w:themeColor="text1"/>
          <w:lang w:eastAsia="ru-RU"/>
        </w:rPr>
        <w:t xml:space="preserve">РП «Мы вместе (Воспитание гармонично развитой личности)»</w:t>
      </w:r>
      <w:r>
        <w:rPr>
          <w:color w:val="000000" w:themeColor="text1"/>
          <w:lang w:eastAsia="ru-RU"/>
        </w:rPr>
        <w:t xml:space="preserve"> на реализацию практик поддержки добровольчества (</w:t>
      </w:r>
      <w:r>
        <w:rPr>
          <w:color w:val="000000" w:themeColor="text1"/>
          <w:lang w:eastAsia="ru-RU"/>
        </w:rPr>
        <w:t xml:space="preserve">волонтерства</w:t>
      </w:r>
      <w:r>
        <w:rPr>
          <w:color w:val="000000" w:themeColor="text1"/>
          <w:lang w:eastAsia="ru-RU"/>
        </w:rPr>
        <w:t xml:space="preserve">) по итогам проведения ежегодного Всероссийского конкурса лучших региональных практик поддержки </w:t>
      </w:r>
      <w:r>
        <w:rPr>
          <w:color w:val="000000" w:themeColor="text1"/>
          <w:lang w:eastAsia="ru-RU"/>
        </w:rPr>
        <w:t xml:space="preserve">и развития добровольчества (</w:t>
      </w:r>
      <w:r>
        <w:rPr>
          <w:color w:val="000000" w:themeColor="text1"/>
          <w:lang w:eastAsia="ru-RU"/>
        </w:rPr>
        <w:t xml:space="preserve">волонтерства</w:t>
      </w:r>
      <w:r>
        <w:rPr>
          <w:color w:val="000000" w:themeColor="text1"/>
          <w:lang w:eastAsia="ru-RU"/>
        </w:rPr>
        <w:t xml:space="preserve">) «Регион добрых дел»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</w:t>
      </w:r>
      <w:r>
        <w:rPr>
          <w:color w:val="000000" w:themeColor="text1"/>
          <w:lang w:eastAsia="ru-RU"/>
        </w:rPr>
        <w:t xml:space="preserve"> направлено 8 022,4 тыс. рублей (из них 7 942,1 тыс. рублей средства федерального бюджета) </w:t>
      </w:r>
      <w:r>
        <w:rPr>
          <w:color w:val="000000" w:themeColor="text1"/>
        </w:rPr>
        <w:t xml:space="preserve">или </w:t>
      </w:r>
      <w:r>
        <w:rPr>
          <w:color w:val="000000" w:themeColor="text1"/>
          <w:lang w:eastAsia="ru-RU"/>
        </w:rPr>
        <w:t xml:space="preserve">100 % от утвержденных СБР ассигнований, </w:t>
      </w:r>
      <w:r>
        <w:rPr>
          <w:color w:val="000000" w:themeColor="text1"/>
          <w:lang w:eastAsia="ru-RU"/>
        </w:rPr>
        <w:t xml:space="preserve">из них: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- 4 011,2 тыс. рублей на проведение региональных мероприятий («Лучшие волонт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ры Чукотского автономного округа», «Территория семейных праздников», «Мастерская ВОД «Волонт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ры </w:t>
      </w:r>
      <w:r>
        <w:rPr>
          <w:color w:val="000000" w:themeColor="text1"/>
        </w:rPr>
        <w:t xml:space="preserve">–</w:t>
      </w:r>
      <w:r>
        <w:rPr>
          <w:color w:val="000000" w:themeColor="text1"/>
        </w:rPr>
        <w:t xml:space="preserve"> медики», Серебряные волонт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ры «Ярмарки Мастеров», «Доброе дело Чукотка», Серия семинаров «Я </w:t>
      </w:r>
      <w:r>
        <w:rPr>
          <w:color w:val="000000" w:themeColor="text1"/>
        </w:rPr>
        <w:t xml:space="preserve">–</w:t>
      </w:r>
      <w:r>
        <w:rPr>
          <w:color w:val="000000" w:themeColor="text1"/>
        </w:rPr>
        <w:t xml:space="preserve"> доброволец», Сл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т представителей добровольческого (волонт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рского) движения Чукотского АО);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- 4 011,2 тыс. рублей предоставлена субсидия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НО «</w:t>
      </w:r>
      <w:r>
        <w:rPr>
          <w:color w:val="000000" w:themeColor="text1"/>
        </w:rPr>
        <w:t xml:space="preserve">Региональный ресурсный центр поддержки добровольчества (</w:t>
      </w:r>
      <w:r>
        <w:rPr>
          <w:color w:val="000000" w:themeColor="text1"/>
        </w:rPr>
        <w:t xml:space="preserve">волонт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рства</w:t>
      </w:r>
      <w:r>
        <w:rPr>
          <w:color w:val="000000" w:themeColor="text1"/>
        </w:rPr>
        <w:t xml:space="preserve">)</w:t>
      </w:r>
      <w:r>
        <w:rPr>
          <w:color w:val="000000" w:themeColor="text1"/>
        </w:rPr>
        <w:t xml:space="preserve">»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на косметический ремонт помещения для проведения мероприятий.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выполнение мероприятия составило 100 % от полученного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2) На реализацию мероприятий </w:t>
      </w:r>
      <w:r>
        <w:rPr>
          <w:b/>
          <w:color w:val="000000" w:themeColor="text1"/>
        </w:rPr>
        <w:t xml:space="preserve">РП «Все лучшее детям»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</w:t>
      </w:r>
      <w:r>
        <w:rPr>
          <w:color w:val="000000" w:themeColor="text1"/>
          <w:lang w:eastAsia="ru-RU"/>
        </w:rPr>
        <w:t xml:space="preserve"> направлено 206 527,7</w:t>
      </w:r>
      <w:r>
        <w:rPr>
          <w:color w:val="000000" w:themeColor="text1"/>
        </w:rPr>
        <w:t xml:space="preserve"> тыс. рублей (из них 179 270,9 тыс. рублей средства федерального бюджета) или </w:t>
      </w:r>
      <w:r>
        <w:rPr>
          <w:color w:val="000000" w:themeColor="text1"/>
        </w:rPr>
        <w:t xml:space="preserve">98,</w:t>
      </w:r>
      <w:r>
        <w:rPr>
          <w:color w:val="000000" w:themeColor="text1"/>
        </w:rPr>
        <w:t xml:space="preserve">8 </w:t>
      </w:r>
      <w:r>
        <w:rPr>
          <w:color w:val="000000" w:themeColor="text1"/>
          <w:lang w:eastAsia="ru-RU"/>
        </w:rPr>
        <w:t xml:space="preserve">% от утвержденных </w:t>
      </w:r>
      <w:r>
        <w:rPr>
          <w:color w:val="000000" w:themeColor="text1"/>
          <w:lang w:eastAsia="ru-RU"/>
        </w:rPr>
        <w:t xml:space="preserve">СБР ассигнований, в том числе: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2 081,5</w:t>
      </w:r>
      <w:r>
        <w:rPr>
          <w:color w:val="000000" w:themeColor="text1"/>
          <w:lang w:eastAsia="ru-RU"/>
        </w:rPr>
        <w:t xml:space="preserve"> тыс. рублей оснащены </w:t>
      </w:r>
      <w:r>
        <w:rPr>
          <w:color w:val="000000" w:themeColor="text1"/>
        </w:rPr>
        <w:t xml:space="preserve">средствами обучения и воспитания </w:t>
      </w:r>
      <w:r>
        <w:rPr>
          <w:color w:val="000000" w:themeColor="text1"/>
        </w:rPr>
        <w:t xml:space="preserve">30 </w:t>
      </w:r>
      <w:r>
        <w:rPr>
          <w:color w:val="000000" w:themeColor="text1"/>
          <w:lang w:eastAsia="ru-RU"/>
        </w:rPr>
        <w:t xml:space="preserve">предметных </w:t>
      </w:r>
      <w:r>
        <w:rPr>
          <w:color w:val="000000" w:themeColor="text1"/>
        </w:rPr>
        <w:t xml:space="preserve">кабинетов для реализации образовательных программ </w:t>
      </w:r>
      <w:r>
        <w:rPr>
          <w:color w:val="000000" w:themeColor="text1"/>
        </w:rPr>
        <w:t xml:space="preserve">по учебному предмету «Основы безопасности и защиты Родины»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iCs/>
          <w:color w:val="000000" w:themeColor="text1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204 446,2</w:t>
      </w:r>
      <w:r>
        <w:rPr>
          <w:color w:val="000000" w:themeColor="text1"/>
          <w:lang w:eastAsia="ru-RU"/>
        </w:rPr>
        <w:t xml:space="preserve"> тыс. рублей на реализацию мероприятий по модернизации школьных систем образования</w:t>
      </w:r>
      <w:r>
        <w:rPr>
          <w:iCs/>
          <w:color w:val="000000" w:themeColor="text1"/>
        </w:rPr>
        <w:t xml:space="preserve">, из них:</w:t>
      </w:r>
      <w:r>
        <w:rPr>
          <w:iCs/>
          <w:color w:val="000000" w:themeColor="text1"/>
        </w:rPr>
      </w:r>
      <w:r>
        <w:rPr>
          <w:iCs/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94 070,2 </w:t>
      </w:r>
      <w:r>
        <w:rPr>
          <w:color w:val="000000" w:themeColor="text1"/>
          <w:lang w:eastAsia="ru-RU"/>
        </w:rPr>
        <w:t xml:space="preserve">тыс. рублей на к</w:t>
      </w:r>
      <w:r>
        <w:rPr>
          <w:color w:val="000000" w:themeColor="text1"/>
        </w:rPr>
        <w:t xml:space="preserve">апитальный ремонт фасада (включая замену оконных и дверных блоков) и кровли в здании МБОУ «Центр образования села </w:t>
      </w:r>
      <w:r>
        <w:rPr>
          <w:color w:val="000000" w:themeColor="text1"/>
        </w:rPr>
        <w:t xml:space="preserve">Рыркайпий</w:t>
      </w:r>
      <w:r>
        <w:rPr>
          <w:color w:val="000000" w:themeColor="text1"/>
        </w:rPr>
        <w:t xml:space="preserve">»</w:t>
      </w:r>
      <w:r>
        <w:rPr>
          <w:color w:val="000000" w:themeColor="text1"/>
        </w:rPr>
        <w:t xml:space="preserve">;</w:t>
      </w:r>
      <w:r>
        <w:rPr>
          <w:iCs/>
          <w:color w:val="000000" w:themeColor="text1"/>
        </w:rPr>
      </w:r>
      <w:r>
        <w:rPr>
          <w:iCs/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110</w:t>
      </w:r>
      <w:r>
        <w:rPr>
          <w:color w:val="000000" w:themeColor="text1"/>
        </w:rPr>
        <w:t xml:space="preserve"> 376,0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тыс. рублей на</w:t>
      </w:r>
      <w:r>
        <w:rPr>
          <w:color w:val="000000" w:themeColor="text1"/>
        </w:rPr>
        <w:t xml:space="preserve"> капитальный ремонт фасада и спортивного зала МБОУ «Школа-интернат среднего общего образования поселка Провидения»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выполнение мероприятия составило 100 % от полученного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3)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В</w:t>
      </w:r>
      <w:r>
        <w:rPr>
          <w:color w:val="000000" w:themeColor="text1"/>
        </w:rPr>
        <w:t xml:space="preserve"> ходе реализации </w:t>
      </w:r>
      <w:r>
        <w:rPr>
          <w:b/>
          <w:color w:val="000000" w:themeColor="text1"/>
        </w:rPr>
        <w:t xml:space="preserve">РП «Педагоги и наставники»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</w:t>
      </w:r>
      <w:r>
        <w:rPr>
          <w:color w:val="000000" w:themeColor="text1"/>
          <w:lang w:eastAsia="ru-RU"/>
        </w:rPr>
        <w:t xml:space="preserve"> направлено 256 099,0 тыс. рублей (из них 255 868,9 тыс. рублей средства федерального бюджета) </w:t>
      </w:r>
      <w:r>
        <w:rPr>
          <w:color w:val="000000" w:themeColor="text1"/>
        </w:rPr>
        <w:t xml:space="preserve">или 99,3 </w:t>
      </w:r>
      <w:r>
        <w:rPr>
          <w:color w:val="000000" w:themeColor="text1"/>
          <w:lang w:eastAsia="ru-RU"/>
        </w:rPr>
        <w:t xml:space="preserve">% от утвержденных СБР ассигнований, в том числе: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2 963,1</w:t>
      </w:r>
      <w:r>
        <w:rPr>
          <w:color w:val="000000" w:themeColor="text1"/>
          <w:lang w:eastAsia="ru-RU"/>
        </w:rPr>
        <w:t xml:space="preserve"> тыс. рублей на обеспечение </w:t>
      </w:r>
      <w:r>
        <w:rPr>
          <w:color w:val="000000" w:themeColor="text1"/>
          <w:lang w:eastAsia="ru-RU"/>
        </w:rPr>
        <w:t xml:space="preserve">выплат ежемесячного денежного вознаграждения советникам директоров по воспитанию и взаимодействию </w:t>
      </w:r>
      <w:r>
        <w:rPr>
          <w:color w:val="000000" w:themeColor="text1"/>
          <w:lang w:eastAsia="ru-RU"/>
        </w:rPr>
        <w:t xml:space="preserve">с детскими общественными объединениями государственных </w:t>
      </w:r>
      <w:r>
        <w:rPr>
          <w:color w:val="000000" w:themeColor="text1"/>
          <w:lang w:eastAsia="ru-RU"/>
        </w:rPr>
        <w:t xml:space="preserve">и муниципальных общеобразовательных организаций, профессиональных образовательных организаций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8 357,8</w:t>
      </w:r>
      <w:r>
        <w:rPr>
          <w:color w:val="000000" w:themeColor="text1"/>
          <w:lang w:eastAsia="ru-RU"/>
        </w:rPr>
        <w:t xml:space="preserve"> тыс. рублей на </w:t>
      </w:r>
      <w:r>
        <w:rPr>
          <w:color w:val="000000" w:themeColor="text1"/>
          <w:lang w:eastAsia="ru-RU"/>
        </w:rPr>
        <w:t xml:space="preserve">проведение мероприятий по обеспечению деятельности советников директора по воспитанию и взаимодействию </w:t>
      </w:r>
      <w:r>
        <w:rPr>
          <w:color w:val="000000" w:themeColor="text1"/>
          <w:lang w:eastAsia="ru-RU"/>
        </w:rPr>
        <w:t xml:space="preserve">с детскими общественными объединениями в общеобразовательных организациях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4 000,0 тыс. рублей </w:t>
      </w:r>
      <w:r>
        <w:rPr>
          <w:color w:val="000000" w:themeColor="text1"/>
          <w:lang w:eastAsia="ru-RU"/>
        </w:rPr>
        <w:t xml:space="preserve">на обеспечение реализации мероприятий по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50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тысяч человек</w:t>
      </w:r>
      <w:r>
        <w:rPr>
          <w:color w:val="000000" w:themeColor="text1"/>
          <w:lang w:eastAsia="ru-RU"/>
        </w:rPr>
        <w:t xml:space="preserve">; 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219 848,2</w:t>
      </w:r>
      <w:r>
        <w:rPr>
          <w:color w:val="000000" w:themeColor="text1"/>
          <w:lang w:eastAsia="ru-RU"/>
        </w:rPr>
        <w:t xml:space="preserve"> тыс. рублей на ежемесячное</w:t>
      </w:r>
      <w:r>
        <w:rPr>
          <w:color w:val="000000" w:themeColor="text1"/>
          <w:lang w:eastAsia="ru-RU"/>
        </w:rPr>
        <w:t xml:space="preserve"> денежное вознаграждение за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классное руководство педагогическим работникам государственных </w:t>
      </w:r>
      <w:r>
        <w:rPr>
          <w:color w:val="000000" w:themeColor="text1"/>
          <w:lang w:eastAsia="ru-RU"/>
        </w:rPr>
        <w:t xml:space="preserve">и 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20 929,</w:t>
      </w:r>
      <w:r>
        <w:rPr>
          <w:color w:val="000000" w:themeColor="text1"/>
          <w:lang w:eastAsia="ru-RU"/>
        </w:rPr>
        <w:t xml:space="preserve">9</w:t>
      </w:r>
      <w:r>
        <w:rPr>
          <w:color w:val="000000" w:themeColor="text1"/>
          <w:lang w:eastAsia="ru-RU"/>
        </w:rPr>
        <w:t xml:space="preserve"> тыс. рублей на </w:t>
      </w:r>
      <w:r>
        <w:rPr>
          <w:color w:val="000000" w:themeColor="text1"/>
          <w:lang w:eastAsia="ru-RU"/>
        </w:rPr>
        <w:t xml:space="preserve">ежемесячное денежное вознаграждение за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классное руководство (кураторство) педагогическим работникам государственны</w:t>
      </w:r>
      <w:r>
        <w:rPr>
          <w:color w:val="000000" w:themeColor="text1"/>
          <w:lang w:eastAsia="ru-RU"/>
        </w:rPr>
        <w:t xml:space="preserve">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ограниченными возможностями здоровья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Фактическое </w:t>
      </w:r>
      <w:r>
        <w:rPr>
          <w:bCs/>
          <w:iCs/>
          <w:color w:val="000000" w:themeColor="text1"/>
        </w:rPr>
        <w:t xml:space="preserve">выполнение составило 100</w:t>
      </w:r>
      <w:r>
        <w:rPr>
          <w:bCs/>
          <w:iCs/>
          <w:color w:val="000000" w:themeColor="text1"/>
        </w:rPr>
        <w:t xml:space="preserve"> </w:t>
      </w:r>
      <w:r>
        <w:rPr>
          <w:color w:val="000000" w:themeColor="text1"/>
        </w:rPr>
        <w:t xml:space="preserve">% от направленного финансирования.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Также, по состоянию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января 2026 года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просроченная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ебиторская задолженность в объеме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443 203,9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тыс. рублей, числящаяся за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Департаментом строительства,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Образование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» по РП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Современная школа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строительство объекта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Школа в г. Анадырь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Всего на реализацию мероприятия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 формы 0503190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направлено бюджетных средств в объеме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2 243 575,3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рублей, из 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1 979 257,8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Образование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Стоимость фактически выполненных работ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января 2026 года составила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1 597 437,6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рублей, из 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1 536 053,9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Образование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Всего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состоянию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1 января 2026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дебиторская задолженность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составила 646 137,7 тыс. рублей, из них 645 411,3 тыс. рублей числя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щаяся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просроченная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443 203,9 тыс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национального проекта прошлых 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«Образование»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 в рамках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строительств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объекта «Школа в г. Анадырь» общей стоимостью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2 447 340,0 тыс. рублей и сроком исполнения 31.10.2025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данным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ЕИС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 </w:t>
      </w:r>
      <w:r>
        <w:rPr>
          <w:color w:val="000000" w:themeColor="text1"/>
        </w:rPr>
        <w:t xml:space="preserve">расторгнут 25.11.2025 на основании одностороннего отказа </w:t>
      </w:r>
      <w:r>
        <w:rPr>
          <w:color w:val="000000" w:themeColor="text1"/>
        </w:rPr>
        <w:t xml:space="preserve">заказчика от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исполнения контракта в соответствии с гражданским законодательством</w:t>
      </w:r>
      <w:r>
        <w:rPr>
          <w:color w:val="000000" w:themeColor="text1"/>
        </w:rPr>
        <w:t xml:space="preserve">.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2.10.</w:t>
      </w:r>
      <w:r>
        <w:rPr>
          <w:color w:val="000000" w:themeColor="text1"/>
        </w:rPr>
        <w:t xml:space="preserve"> В рамках </w:t>
      </w:r>
      <w:r>
        <w:rPr>
          <w:b/>
          <w:bCs/>
          <w:color w:val="000000" w:themeColor="text1"/>
        </w:rPr>
        <w:t xml:space="preserve">НП «Семья»</w:t>
      </w:r>
      <w:r>
        <w:rPr>
          <w:color w:val="000000" w:themeColor="text1"/>
        </w:rPr>
        <w:t xml:space="preserve"> на территории Чукотского автономного округа реализуются пя</w:t>
      </w:r>
      <w:r>
        <w:rPr>
          <w:color w:val="000000" w:themeColor="text1"/>
        </w:rPr>
        <w:t xml:space="preserve">ть региональных проектов, мероприятия котор</w:t>
      </w:r>
      <w:r>
        <w:rPr>
          <w:color w:val="000000" w:themeColor="text1"/>
        </w:rPr>
        <w:t xml:space="preserve">ых интегрированы в четыре государственные программы «Социальная поддержка населения Чукотского автономного округа», «Развитие образования и науки Чукотского автономного округа», «Развитие здравоохранения Чукотского автономного округа» и «Развитие культуры </w:t>
      </w:r>
      <w:r>
        <w:rPr>
          <w:color w:val="000000" w:themeColor="text1"/>
        </w:rPr>
        <w:t xml:space="preserve">и туризма Чукотского автономного округа».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реализацию региональных проектов </w:t>
      </w:r>
      <w:r>
        <w:rPr>
          <w:b/>
          <w:i/>
          <w:color w:val="000000" w:themeColor="text1"/>
        </w:rPr>
        <w:t xml:space="preserve">НП «Семья»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отчетном периоде</w:t>
      </w:r>
      <w:r>
        <w:rPr>
          <w:color w:val="000000" w:themeColor="text1"/>
        </w:rPr>
        <w:t xml:space="preserve"> из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окружного бюджета направлено 507 351,6 тыс. рублей (из них 337 851,9 тыс. рублей – средства федерального бюджета) или </w:t>
      </w:r>
      <w:r>
        <w:rPr>
          <w:color w:val="000000" w:themeColor="text1"/>
        </w:rPr>
        <w:t xml:space="preserve">90,8 % от утвержденных сводной бюджетной росписью ассигнований. Ф</w:t>
      </w:r>
      <w:r>
        <w:rPr>
          <w:rFonts w:eastAsia="Times New Roman"/>
          <w:color w:val="000000" w:themeColor="text1"/>
          <w:lang w:eastAsia="ru-RU"/>
        </w:rPr>
        <w:t xml:space="preserve">актическое выполнение мероприятий региональных проектов составило </w:t>
      </w:r>
      <w:r>
        <w:rPr>
          <w:rFonts w:eastAsia="Times New Roman"/>
          <w:color w:val="000000" w:themeColor="text1"/>
          <w:lang w:eastAsia="ru-RU"/>
        </w:rPr>
        <w:t xml:space="preserve">503 420,</w:t>
      </w:r>
      <w:r>
        <w:rPr>
          <w:rFonts w:eastAsia="Times New Roman"/>
          <w:color w:val="000000" w:themeColor="text1"/>
          <w:lang w:eastAsia="ru-RU"/>
        </w:rPr>
        <w:t xml:space="preserve">2</w:t>
      </w:r>
      <w:r>
        <w:rPr>
          <w:rFonts w:eastAsia="Times New Roman"/>
          <w:color w:val="000000" w:themeColor="text1"/>
          <w:lang w:eastAsia="ru-RU"/>
        </w:rPr>
        <w:t xml:space="preserve"> тыс. рублей, </w:t>
      </w:r>
      <w:r>
        <w:rPr>
          <w:color w:val="000000" w:themeColor="text1"/>
        </w:rPr>
        <w:t xml:space="preserve">из них </w:t>
      </w:r>
      <w:r>
        <w:rPr>
          <w:color w:val="000000" w:themeColor="text1"/>
        </w:rPr>
        <w:t xml:space="preserve">101 182,8</w:t>
      </w:r>
      <w:r>
        <w:rPr>
          <w:color w:val="000000" w:themeColor="text1"/>
        </w:rPr>
        <w:t xml:space="preserve"> тыс. рублей за счет авансовых платежей 2023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год</w:t>
      </w:r>
      <w:r>
        <w:rPr>
          <w:color w:val="000000" w:themeColor="text1"/>
        </w:rPr>
        <w:t xml:space="preserve">а</w:t>
      </w:r>
      <w:r>
        <w:rPr>
          <w:color w:val="000000" w:themeColor="text1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в 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«Демография»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</w:rPr>
      </w:pPr>
      <w:r>
        <w:rPr>
          <w:color w:val="000000" w:themeColor="text1"/>
        </w:rPr>
        <w:t xml:space="preserve">Неиспользованные </w:t>
      </w:r>
      <w:r>
        <w:rPr>
          <w:color w:val="000000" w:themeColor="text1"/>
        </w:rPr>
        <w:t xml:space="preserve">в 2025 году </w:t>
      </w:r>
      <w:r>
        <w:rPr>
          <w:color w:val="000000" w:themeColor="text1"/>
        </w:rPr>
        <w:t xml:space="preserve">бюджетные ассигнования, предоставленные на реализацию мероприятий РП (осуществлен возврат </w:t>
      </w:r>
      <w:r>
        <w:rPr>
          <w:color w:val="000000" w:themeColor="text1"/>
        </w:rPr>
        <w:t xml:space="preserve">в окружной бюджет), </w:t>
      </w:r>
      <w:r>
        <w:rPr>
          <w:rFonts w:eastAsia="Times New Roman"/>
          <w:color w:val="000000" w:themeColor="text1"/>
          <w:lang w:eastAsia="ru-RU"/>
        </w:rPr>
        <w:t xml:space="preserve">составили 223,0 тыс. рублей.</w:t>
      </w: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rFonts w:eastAsia="Times New Roman"/>
          <w:color w:val="000000" w:themeColor="text1"/>
          <w:lang w:eastAsia="ru-RU"/>
        </w:rPr>
        <w:t xml:space="preserve">Дебиторская задолженность по состоянию на </w:t>
      </w:r>
      <w:r>
        <w:rPr>
          <w:color w:val="000000" w:themeColor="text1"/>
        </w:rPr>
        <w:t xml:space="preserve">1 января 2026 года </w:t>
      </w:r>
      <w:r>
        <w:rPr>
          <w:rFonts w:eastAsia="Times New Roman"/>
          <w:color w:val="000000" w:themeColor="text1"/>
          <w:lang w:eastAsia="ru-RU"/>
        </w:rPr>
        <w:t xml:space="preserve">составила </w:t>
      </w:r>
      <w:r>
        <w:rPr>
          <w:rFonts w:eastAsia="Times New Roman"/>
          <w:color w:val="000000" w:themeColor="text1"/>
          <w:lang w:eastAsia="ru-RU"/>
        </w:rPr>
        <w:t xml:space="preserve">180 894,6</w:t>
      </w:r>
      <w:r>
        <w:rPr>
          <w:rFonts w:eastAsia="Times New Roman"/>
          <w:color w:val="000000" w:themeColor="text1"/>
          <w:lang w:eastAsia="ru-RU"/>
        </w:rPr>
        <w:t xml:space="preserve"> тыс. рублей, из них </w:t>
      </w:r>
      <w:r>
        <w:rPr>
          <w:rFonts w:eastAsia="Times New Roman"/>
          <w:color w:val="000000" w:themeColor="text1"/>
          <w:lang w:eastAsia="ru-RU"/>
        </w:rPr>
        <w:t xml:space="preserve">76 003,3</w:t>
      </w:r>
      <w:r>
        <w:rPr>
          <w:rFonts w:eastAsia="Times New Roman"/>
          <w:color w:val="000000" w:themeColor="text1"/>
          <w:lang w:eastAsia="ru-RU"/>
        </w:rPr>
        <w:t xml:space="preserve"> тыс. рублей средства </w:t>
      </w:r>
      <w:r>
        <w:rPr>
          <w:rFonts w:eastAsia="Times New Roman"/>
          <w:color w:val="000000" w:themeColor="text1"/>
          <w:lang w:eastAsia="ru-RU"/>
        </w:rPr>
        <w:t xml:space="preserve">2023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год</w:t>
      </w:r>
      <w:r>
        <w:rPr>
          <w:rFonts w:eastAsia="Times New Roman"/>
          <w:color w:val="000000" w:themeColor="text1"/>
          <w:lang w:eastAsia="ru-RU"/>
        </w:rPr>
        <w:t xml:space="preserve">а </w:t>
      </w:r>
      <w:r>
        <w:rPr>
          <w:rFonts w:eastAsia="Times New Roman"/>
          <w:color w:val="000000" w:themeColor="text1"/>
          <w:lang w:eastAsia="ru-RU"/>
        </w:rPr>
        <w:t xml:space="preserve">в рамках реализации </w:t>
      </w:r>
      <w:r>
        <w:rPr>
          <w:color w:val="000000" w:themeColor="text1"/>
        </w:rPr>
        <w:t xml:space="preserve">национального проекта прошлых лет</w:t>
      </w:r>
      <w:r>
        <w:rPr>
          <w:color w:val="000000" w:themeColor="text1"/>
          <w:lang w:eastAsia="ru-RU"/>
        </w:rPr>
        <w:t xml:space="preserve"> «</w:t>
      </w:r>
      <w:r>
        <w:rPr>
          <w:rFonts w:eastAsia="Times New Roman"/>
          <w:color w:val="000000" w:themeColor="text1"/>
          <w:lang w:eastAsia="ru-RU"/>
        </w:rPr>
        <w:t xml:space="preserve">Спорт – норма жизни</w:t>
      </w:r>
      <w:r>
        <w:rPr>
          <w:color w:val="000000" w:themeColor="text1"/>
          <w:lang w:eastAsia="ru-RU"/>
        </w:rPr>
        <w:t xml:space="preserve">» </w:t>
      </w:r>
      <w:r>
        <w:rPr>
          <w:color w:val="000000" w:themeColor="text1"/>
        </w:rPr>
        <w:t xml:space="preserve">(рис. 9).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6"/>
          <w:szCs w:val="6"/>
        </w:rPr>
      </w:pP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</w:p>
    <w:p>
      <w:pPr>
        <w:pStyle w:val="4482"/>
        <w:ind w:firstLine="0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drawing>
          <wp:inline distT="0" distB="0" distL="0" distR="0">
            <wp:extent cx="5918200" cy="1323340"/>
            <wp:effectExtent l="0" t="0" r="6350" b="1016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57" w:firstLine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Рис.9 (тыс. рублей)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данным отчетов о ходе реализации региональных проектов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2025 год, установленные паспортами региональных проектов: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12 из 12 показателей достигнуты;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16 из 18 результатов достигнуты, не достигнуты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«Обеспечено адресное строительство детских садов в отдельных населенных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пунктах 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объективно выявленной потребностью инфра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структуры» в рамках реализации РП </w:t>
      </w:r>
      <w:r>
        <w:rPr>
          <w:color w:val="000000" w:themeColor="text1"/>
          <w:lang w:eastAsia="ru-RU"/>
        </w:rPr>
        <w:t xml:space="preserve">«</w:t>
      </w:r>
      <w:r>
        <w:rPr>
          <w:color w:val="000000" w:themeColor="text1"/>
          <w:lang w:eastAsia="ru-RU"/>
        </w:rPr>
        <w:t xml:space="preserve">Поддержка семьи</w:t>
      </w:r>
      <w:r>
        <w:rPr>
          <w:color w:val="000000" w:themeColor="text1"/>
          <w:lang w:eastAsia="ru-RU"/>
        </w:rPr>
        <w:t xml:space="preserve">»</w:t>
      </w:r>
      <w:r>
        <w:rPr>
          <w:color w:val="000000" w:themeColor="text1"/>
          <w:lang w:eastAsia="ru-RU"/>
        </w:rPr>
        <w:t xml:space="preserve"> и «Граждане получили государственную социальную помощь на основании социального контракта с приоритетным предоставлением многодетным семьям» в рамках реализации </w:t>
      </w:r>
      <w:r>
        <w:rPr>
          <w:color w:val="000000" w:themeColor="text1"/>
          <w:lang w:eastAsia="ru-RU"/>
        </w:rPr>
        <w:t xml:space="preserve">РП «Многодетная семья»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- все 92 контрольные точки достигнуты.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Анализ хода реализации региональных проектов в рамках </w:t>
      </w:r>
      <w:r>
        <w:rPr>
          <w:color w:val="000000" w:themeColor="text1"/>
          <w:lang w:eastAsia="ru-RU"/>
        </w:rPr>
        <w:t xml:space="preserve">НП</w:t>
      </w:r>
      <w:r>
        <w:rPr>
          <w:color w:val="000000" w:themeColor="text1"/>
          <w:lang w:val="en-US" w:eastAsia="ru-RU"/>
        </w:rPr>
        <w:t xml:space="preserve"> </w:t>
      </w:r>
      <w:r>
        <w:rPr>
          <w:color w:val="000000" w:themeColor="text1"/>
          <w:lang w:eastAsia="ru-RU"/>
        </w:rPr>
        <w:t xml:space="preserve">«</w:t>
      </w:r>
      <w:r>
        <w:rPr>
          <w:color w:val="000000" w:themeColor="text1"/>
          <w:lang w:eastAsia="ru-RU"/>
        </w:rPr>
        <w:t xml:space="preserve">Семья</w:t>
      </w:r>
      <w:r>
        <w:rPr>
          <w:color w:val="000000" w:themeColor="text1"/>
          <w:lang w:eastAsia="ru-RU"/>
        </w:rPr>
        <w:t xml:space="preserve">»</w:t>
      </w:r>
      <w:r>
        <w:rPr>
          <w:color w:val="000000" w:themeColor="text1"/>
          <w:lang w:eastAsia="ru-RU"/>
        </w:rPr>
        <w:t xml:space="preserve"> показал следующее.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1) На реализацию мероприятий </w:t>
      </w:r>
      <w:r>
        <w:rPr>
          <w:b/>
          <w:color w:val="000000" w:themeColor="text1"/>
        </w:rPr>
        <w:t xml:space="preserve">РП «Поддержка семьи»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</w:t>
      </w:r>
      <w:r>
        <w:rPr>
          <w:color w:val="000000" w:themeColor="text1"/>
          <w:lang w:eastAsia="ru-RU"/>
        </w:rPr>
        <w:t xml:space="preserve"> направлено 272 569,6</w:t>
      </w:r>
      <w:r>
        <w:rPr>
          <w:color w:val="000000" w:themeColor="text1"/>
        </w:rPr>
        <w:t xml:space="preserve"> тыс. рублей (из них 130 479,9 тыс. рублей средства федерального бюджета) или </w:t>
      </w:r>
      <w:r>
        <w:rPr>
          <w:color w:val="000000" w:themeColor="text1"/>
          <w:lang w:eastAsia="ru-RU"/>
        </w:rPr>
        <w:t xml:space="preserve">84,4 % от утвержденных </w:t>
      </w:r>
      <w:r>
        <w:rPr>
          <w:color w:val="000000" w:themeColor="text1"/>
          <w:lang w:eastAsia="ru-RU"/>
        </w:rPr>
        <w:t xml:space="preserve">СБР ассигнований, в том числе: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27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861,8 </w:t>
      </w:r>
      <w:r>
        <w:rPr>
          <w:color w:val="000000" w:themeColor="text1"/>
          <w:lang w:eastAsia="ru-RU"/>
        </w:rPr>
        <w:t xml:space="preserve">тыс. рублей на предоставление единовременной выплаты при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рождении второго и (или) последующих детей</w:t>
      </w:r>
      <w:r>
        <w:rPr>
          <w:color w:val="000000" w:themeColor="text1"/>
          <w:lang w:eastAsia="ru-RU"/>
        </w:rPr>
        <w:t xml:space="preserve"> 305 получателям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108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410</w:t>
      </w:r>
      <w:r>
        <w:rPr>
          <w:color w:val="000000" w:themeColor="text1"/>
          <w:lang w:eastAsia="ru-RU"/>
        </w:rPr>
        <w:t xml:space="preserve">,0 тыс. рублей на предоставление ежемесячной выплаты при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рождении первого и (или) второго ребенка</w:t>
      </w:r>
      <w:r>
        <w:rPr>
          <w:color w:val="000000" w:themeColor="text1"/>
          <w:lang w:eastAsia="ru-RU"/>
        </w:rPr>
        <w:t xml:space="preserve"> 1 080 получателям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4 5</w:t>
      </w:r>
      <w:r>
        <w:rPr>
          <w:color w:val="000000" w:themeColor="text1"/>
          <w:lang w:eastAsia="ru-RU"/>
        </w:rPr>
        <w:t xml:space="preserve">00,0 тыс. рублей на предоставление единовременной выплаты </w:t>
      </w:r>
      <w:r>
        <w:rPr>
          <w:color w:val="000000" w:themeColor="text1"/>
          <w:lang w:eastAsia="ru-RU"/>
        </w:rPr>
        <w:t xml:space="preserve">4 </w:t>
      </w:r>
      <w:r>
        <w:rPr>
          <w:color w:val="000000" w:themeColor="text1"/>
          <w:lang w:eastAsia="ru-RU"/>
        </w:rPr>
        <w:t xml:space="preserve">семьям в связи с одновременным рождением в них двух и более детей;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29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840,7 </w:t>
      </w:r>
      <w:r>
        <w:rPr>
          <w:color w:val="000000" w:themeColor="text1"/>
          <w:lang w:eastAsia="ru-RU"/>
        </w:rPr>
        <w:t xml:space="preserve">тыс. рублей на осуществление единовременной выплаты при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рождении первого ребенка</w:t>
      </w:r>
      <w:r>
        <w:rPr>
          <w:color w:val="000000" w:themeColor="text1"/>
          <w:lang w:eastAsia="ru-RU"/>
        </w:rPr>
        <w:t xml:space="preserve"> 169 получателям</w:t>
      </w:r>
      <w:r>
        <w:rPr>
          <w:color w:val="000000" w:themeColor="text1"/>
          <w:lang w:eastAsia="ru-RU"/>
        </w:rPr>
        <w:t xml:space="preserve">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</w:r>
      <w:r>
        <w:rPr>
          <w:color w:val="000000" w:themeColor="text1"/>
          <w:lang w:eastAsia="ru-RU"/>
        </w:rPr>
        <w:t xml:space="preserve">, 61 получателю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iCs/>
          <w:color w:val="000000" w:themeColor="text1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101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957,1 тыс. рублей (аванс) на строительство объекта «Детский сад                           в </w:t>
      </w:r>
      <w:r>
        <w:rPr>
          <w:color w:val="000000" w:themeColor="text1"/>
          <w:lang w:eastAsia="ru-RU"/>
        </w:rPr>
        <w:t xml:space="preserve">пгт.Угольные</w:t>
      </w:r>
      <w:r>
        <w:rPr>
          <w:color w:val="000000" w:themeColor="text1"/>
          <w:lang w:eastAsia="ru-RU"/>
        </w:rPr>
        <w:t xml:space="preserve"> Копи» в рамках ГК </w:t>
      </w:r>
      <w:r>
        <w:rPr>
          <w:color w:val="000000" w:themeColor="text1"/>
        </w:rPr>
        <w:t xml:space="preserve">№ 3/ПИР/СМР-25 </w:t>
      </w:r>
      <w:r>
        <w:rPr>
          <w:color w:val="000000" w:themeColor="text1"/>
        </w:rPr>
        <w:t xml:space="preserve">от 01.08.2025 стоимостью 1 393 379,6 тыс. рублей сроком исполнения 27.02.2027</w:t>
      </w:r>
      <w:r>
        <w:rPr>
          <w:color w:val="000000" w:themeColor="text1"/>
          <w:lang w:eastAsia="ru-RU"/>
        </w:rPr>
        <w:t xml:space="preserve">.</w:t>
      </w:r>
      <w:r>
        <w:rPr>
          <w:iCs/>
          <w:color w:val="000000" w:themeColor="text1"/>
        </w:rPr>
      </w:r>
      <w:r>
        <w:rPr>
          <w:iCs/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выполнение мероприяти</w:t>
      </w:r>
      <w:r>
        <w:rPr>
          <w:color w:val="000000" w:themeColor="text1"/>
          <w:lang w:eastAsia="ru-RU"/>
        </w:rPr>
        <w:t xml:space="preserve">й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составило 170 612,5 тыс. рублей или 62,6 % от полученного финансирования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6"/>
          <w:szCs w:val="6"/>
          <w:lang w:eastAsia="ru-RU"/>
        </w:rPr>
      </w:pPr>
      <w:r>
        <w:rPr>
          <w:color w:val="000000" w:themeColor="text1"/>
          <w:sz w:val="6"/>
          <w:szCs w:val="6"/>
          <w:lang w:eastAsia="ru-RU"/>
        </w:rPr>
      </w:r>
      <w:r>
        <w:rPr>
          <w:color w:val="000000" w:themeColor="text1"/>
          <w:sz w:val="6"/>
          <w:szCs w:val="6"/>
          <w:lang w:eastAsia="ru-RU"/>
        </w:rPr>
      </w:r>
      <w:r>
        <w:rPr>
          <w:color w:val="000000" w:themeColor="text1"/>
          <w:sz w:val="6"/>
          <w:szCs w:val="6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2) На реализацию мероприятий </w:t>
      </w:r>
      <w:r>
        <w:rPr>
          <w:b/>
          <w:color w:val="000000" w:themeColor="text1"/>
        </w:rPr>
        <w:t xml:space="preserve">РП «Многодетная семья»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</w:t>
      </w:r>
      <w:r>
        <w:rPr>
          <w:color w:val="000000" w:themeColor="text1"/>
          <w:lang w:eastAsia="ru-RU"/>
        </w:rPr>
        <w:t xml:space="preserve"> направлено 40 405,9</w:t>
      </w:r>
      <w:r>
        <w:rPr>
          <w:color w:val="000000" w:themeColor="text1"/>
        </w:rPr>
        <w:t xml:space="preserve"> тыс. рублей (из них 16 138,1 тыс. рублей средства федерального бюджета) или 100 </w:t>
      </w:r>
      <w:r>
        <w:rPr>
          <w:color w:val="000000" w:themeColor="text1"/>
          <w:lang w:eastAsia="ru-RU"/>
        </w:rPr>
        <w:t xml:space="preserve">% от утвержденных СБР ассигнований, в том числе: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23 418,5</w:t>
      </w:r>
      <w:r>
        <w:rPr>
          <w:color w:val="000000" w:themeColor="text1"/>
          <w:lang w:eastAsia="ru-RU"/>
        </w:rPr>
        <w:t xml:space="preserve"> тыс. рублей единовременная денежная выплата при рождении (усыновлении) третьего или последующего ребенка (детей) </w:t>
      </w:r>
      <w:r>
        <w:rPr>
          <w:color w:val="000000" w:themeColor="text1"/>
        </w:rPr>
        <w:t xml:space="preserve">предоставлена                         </w:t>
      </w:r>
      <w:r>
        <w:rPr>
          <w:color w:val="000000" w:themeColor="text1"/>
        </w:rPr>
        <w:t xml:space="preserve">123</w:t>
      </w:r>
      <w:r>
        <w:rPr>
          <w:color w:val="000000" w:themeColor="text1"/>
        </w:rPr>
        <w:t xml:space="preserve"> получателям</w:t>
      </w:r>
      <w:r>
        <w:rPr>
          <w:color w:val="000000" w:themeColor="text1"/>
          <w:lang w:eastAsia="ru-RU"/>
        </w:rPr>
        <w:t xml:space="preserve">; 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16</w:t>
      </w:r>
      <w:r>
        <w:rPr>
          <w:color w:val="000000" w:themeColor="text1"/>
          <w:lang w:val="en-US" w:eastAsia="ru-RU"/>
        </w:rPr>
        <w:t xml:space="preserve"> </w:t>
      </w:r>
      <w:r>
        <w:rPr>
          <w:color w:val="000000" w:themeColor="text1"/>
          <w:lang w:eastAsia="ru-RU"/>
        </w:rPr>
        <w:t xml:space="preserve">987,4 </w:t>
      </w:r>
      <w:r>
        <w:rPr>
          <w:color w:val="000000" w:themeColor="text1"/>
          <w:lang w:eastAsia="ru-RU"/>
        </w:rPr>
        <w:t xml:space="preserve">тыс. рублей на оказание государственной социальной помощи                   на основании социального контракта отдельным категориям граждан</w:t>
      </w:r>
      <w:r>
        <w:rPr>
          <w:color w:val="000000" w:themeColor="text1"/>
          <w:lang w:eastAsia="ru-RU"/>
        </w:rPr>
        <w:t xml:space="preserve">, </w:t>
      </w:r>
      <w:r>
        <w:rPr>
          <w:color w:val="000000" w:themeColor="text1"/>
        </w:rPr>
        <w:t xml:space="preserve">заключено </w:t>
      </w:r>
      <w:r>
        <w:rPr>
          <w:color w:val="000000" w:themeColor="text1"/>
        </w:rPr>
        <w:t xml:space="preserve">89</w:t>
      </w:r>
      <w:r>
        <w:rPr>
          <w:color w:val="000000" w:themeColor="text1"/>
        </w:rPr>
        <w:t xml:space="preserve"> социальных контракт</w:t>
      </w:r>
      <w:r>
        <w:rPr>
          <w:color w:val="000000" w:themeColor="text1"/>
        </w:rPr>
        <w:t xml:space="preserve">а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выполнение мероприятий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составило 37 248,8 тыс. рублей или 92,2 % от полученного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3) В рамках реализации мероприятий </w:t>
      </w:r>
      <w:r>
        <w:rPr>
          <w:b/>
          <w:color w:val="000000" w:themeColor="text1"/>
        </w:rPr>
        <w:t xml:space="preserve">РП «Охрана материнства </w:t>
      </w:r>
      <w:r>
        <w:rPr>
          <w:b/>
          <w:color w:val="000000" w:themeColor="text1"/>
        </w:rPr>
        <w:t xml:space="preserve">и детства» </w:t>
      </w:r>
      <w:r>
        <w:rPr>
          <w:color w:val="000000" w:themeColor="text1"/>
        </w:rPr>
        <w:t xml:space="preserve">на оснащение (дооснащение и (или) переоснащение) </w:t>
      </w:r>
      <w:r>
        <w:rPr>
          <w:color w:val="000000" w:themeColor="text1"/>
        </w:rPr>
        <w:t xml:space="preserve">медицинскими изделиями перинатальных центров и родильных домов (отделений), в том числе в составе других организаций </w:t>
      </w:r>
      <w:r>
        <w:rPr>
          <w:color w:val="000000" w:themeColor="text1"/>
          <w:lang w:eastAsia="ru-RU"/>
        </w:rPr>
        <w:t xml:space="preserve">в отчетном периоде</w:t>
      </w:r>
      <w:r>
        <w:rPr>
          <w:color w:val="000000" w:themeColor="text1"/>
          <w:lang w:eastAsia="ru-RU"/>
        </w:rPr>
        <w:t xml:space="preserve"> направлено 60 083,4</w:t>
      </w:r>
      <w:r>
        <w:rPr>
          <w:color w:val="000000" w:themeColor="text1"/>
        </w:rPr>
        <w:t xml:space="preserve"> тыс. рублей (из них 59 482,6 тыс. рублей средства федерального бюджета) или 100 </w:t>
      </w:r>
      <w:r>
        <w:rPr>
          <w:color w:val="000000" w:themeColor="text1"/>
          <w:lang w:eastAsia="ru-RU"/>
        </w:rPr>
        <w:t xml:space="preserve">%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от утвержденных СБР ассигнований </w:t>
      </w:r>
      <w:r>
        <w:rPr>
          <w:color w:val="000000" w:themeColor="text1"/>
          <w:lang w:eastAsia="ru-RU"/>
        </w:rPr>
        <w:t xml:space="preserve">на </w:t>
      </w:r>
      <w:r>
        <w:rPr>
          <w:color w:val="000000" w:themeColor="text1"/>
        </w:rPr>
        <w:t xml:space="preserve">контракты и договора на приобретение </w:t>
      </w:r>
      <w:r>
        <w:rPr>
          <w:color w:val="000000" w:themeColor="text1"/>
        </w:rPr>
        <w:t xml:space="preserve">52 </w:t>
      </w:r>
      <w:r>
        <w:rPr>
          <w:color w:val="000000" w:themeColor="text1"/>
        </w:rPr>
        <w:t xml:space="preserve">медицинских изделий для трех районных больниц (г.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Певек, 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Лаврентия, г.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Билибино) и ГБУЗ «Чукотская окружная больница» </w:t>
      </w:r>
      <w:r>
        <w:rPr>
          <w:color w:val="000000" w:themeColor="text1"/>
        </w:rPr>
        <w:t xml:space="preserve">(</w:t>
      </w:r>
      <w:r>
        <w:rPr>
          <w:color w:val="000000" w:themeColor="text1"/>
        </w:rPr>
        <w:t xml:space="preserve">г.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Анадырь</w:t>
      </w:r>
      <w:r>
        <w:rPr>
          <w:color w:val="000000" w:themeColor="text1"/>
        </w:rPr>
        <w:t xml:space="preserve">)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выполнение мероприятия составило 100 % от полученного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4) В рамках реализации мероприятий </w:t>
      </w:r>
      <w:r>
        <w:rPr>
          <w:b/>
          <w:color w:val="000000" w:themeColor="text1"/>
        </w:rPr>
        <w:t xml:space="preserve">РП «Старшее поколение»</w:t>
      </w:r>
      <w:r>
        <w:rPr>
          <w:color w:val="000000" w:themeColor="text1"/>
          <w:lang w:eastAsia="ru-RU"/>
        </w:rPr>
        <w:t xml:space="preserve">                                 на создание системы долговременного ухода за гражданами пожилого возраста и инвалидами</w:t>
      </w:r>
      <w:r>
        <w:rPr>
          <w:color w:val="000000" w:themeColor="text1"/>
        </w:rPr>
        <w:t xml:space="preserve">, признанными нуждающимися в социальном обслуживании, </w:t>
      </w:r>
      <w:r>
        <w:rPr>
          <w:color w:val="000000" w:themeColor="text1"/>
          <w:lang w:eastAsia="ru-RU"/>
        </w:rPr>
        <w:t xml:space="preserve">в отчетном периоде </w:t>
      </w:r>
      <w:r>
        <w:rPr>
          <w:color w:val="000000" w:themeColor="text1"/>
          <w:lang w:eastAsia="ru-RU"/>
        </w:rPr>
        <w:t xml:space="preserve">направлено 124 412,7</w:t>
      </w:r>
      <w:r>
        <w:rPr>
          <w:color w:val="000000" w:themeColor="text1"/>
        </w:rPr>
        <w:t xml:space="preserve"> тыс. рублей </w:t>
      </w:r>
      <w:r>
        <w:rPr>
          <w:color w:val="000000" w:themeColor="text1"/>
        </w:rPr>
        <w:t xml:space="preserve">(из них 121 970,4 тыс. рублей средства федерального бюджета) или </w:t>
      </w:r>
      <w:r>
        <w:rPr>
          <w:color w:val="000000" w:themeColor="text1"/>
        </w:rPr>
        <w:t xml:space="preserve">99,5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%  от утвержденных СБР ассигнований</w:t>
      </w:r>
      <w:r>
        <w:rPr>
          <w:color w:val="000000" w:themeColor="text1"/>
          <w:lang w:eastAsia="ru-RU"/>
        </w:rPr>
        <w:t xml:space="preserve">, </w:t>
      </w:r>
      <w:r>
        <w:rPr>
          <w:color w:val="000000" w:themeColor="text1"/>
        </w:rPr>
        <w:t xml:space="preserve">охвачено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системой  долговременного ухода</w:t>
      </w:r>
      <w:r>
        <w:rPr>
          <w:color w:val="000000" w:themeColor="text1"/>
        </w:rPr>
        <w:t xml:space="preserve"> 119 человек.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Фактическое выполнение мероприятия составило 100 % от полученного финансирования.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5) На реализацию мероприятий </w:t>
      </w:r>
      <w:r>
        <w:rPr>
          <w:b/>
          <w:color w:val="000000" w:themeColor="text1"/>
        </w:rPr>
        <w:t xml:space="preserve">РП «Семейные ценности                                                    и инфраструктура культуры»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в отчетном периоде</w:t>
      </w:r>
      <w:r>
        <w:rPr>
          <w:color w:val="000000" w:themeColor="text1"/>
          <w:lang w:eastAsia="ru-RU"/>
        </w:rPr>
        <w:t xml:space="preserve"> направлено </w:t>
      </w:r>
      <w:r>
        <w:rPr>
          <w:color w:val="000000" w:themeColor="text1"/>
          <w:lang w:eastAsia="ru-RU"/>
        </w:rPr>
        <w:t xml:space="preserve">9 879,9</w:t>
      </w:r>
      <w:r>
        <w:rPr>
          <w:color w:val="000000" w:themeColor="text1"/>
        </w:rPr>
        <w:t xml:space="preserve"> тыс. рублей (из них 9 780,9 тыс. рублей средства федерального бюджета) или 100 </w:t>
      </w:r>
      <w:r>
        <w:rPr>
          <w:color w:val="000000" w:themeColor="text1"/>
          <w:lang w:eastAsia="ru-RU"/>
        </w:rPr>
        <w:t xml:space="preserve">% от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утвержденных СБР ассигнований, в том числе: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- 966,4 тыс. рублей </w:t>
      </w:r>
      <w:r>
        <w:rPr>
          <w:color w:val="000000" w:themeColor="text1"/>
        </w:rPr>
        <w:t xml:space="preserve">оснащено МАУ ДО ГО Певек «Детская школа искусств» баянами «Юпитер» и «Юпитер2»</w:t>
      </w:r>
      <w:r>
        <w:rPr>
          <w:color w:val="000000" w:themeColor="text1"/>
          <w:lang w:eastAsia="ru-RU"/>
        </w:rPr>
        <w:t xml:space="preserve">; </w:t>
      </w:r>
      <w:r>
        <w:rPr>
          <w:color w:val="000000" w:themeColor="text1"/>
          <w:lang w:eastAsia="ru-RU"/>
        </w:rPr>
      </w:r>
      <w:r>
        <w:rPr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-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8 913,5</w:t>
      </w:r>
      <w:r>
        <w:rPr>
          <w:color w:val="000000" w:themeColor="text1"/>
          <w:lang w:eastAsia="ru-RU"/>
        </w:rPr>
        <w:t xml:space="preserve"> тыс. рублей на техническое оснащение региональных                                           и муниципальных музеев: </w:t>
      </w:r>
      <w:r>
        <w:rPr>
          <w:bCs/>
          <w:iCs/>
          <w:color w:val="000000" w:themeColor="text1"/>
        </w:rPr>
        <w:t xml:space="preserve">МАУ ДО МО Певек «Детская школа искусств»,</w:t>
      </w:r>
      <w:r>
        <w:rPr>
          <w:bCs/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 xml:space="preserve">МАУК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«Билибинский районный краеведческий музей имени Г.С. Глазырина» и МБУ «Музей </w:t>
      </w:r>
      <w:r>
        <w:rPr>
          <w:color w:val="000000" w:themeColor="text1"/>
        </w:rPr>
        <w:t xml:space="preserve">Берингийского</w:t>
      </w:r>
      <w:r>
        <w:rPr>
          <w:color w:val="000000" w:themeColor="text1"/>
        </w:rPr>
        <w:t xml:space="preserve"> наследия» МО </w:t>
      </w:r>
      <w:r>
        <w:rPr>
          <w:color w:val="000000" w:themeColor="text1"/>
        </w:rPr>
        <w:t xml:space="preserve">Провиденский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Фактическое выполнение мероприятия составило 100 % от полученного финансирования.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Также, п</w:t>
      </w:r>
      <w:r>
        <w:rPr>
          <w:color w:val="000000" w:themeColor="text1"/>
          <w:lang w:eastAsia="ru-RU"/>
        </w:rPr>
        <w:t xml:space="preserve">о состоянию на </w:t>
      </w:r>
      <w:r>
        <w:rPr>
          <w:color w:val="000000" w:themeColor="text1"/>
          <w:lang w:eastAsia="ru-RU"/>
        </w:rPr>
        <w:t xml:space="preserve">1 января 2026 года имеется д</w:t>
      </w:r>
      <w:r>
        <w:rPr>
          <w:color w:val="000000" w:themeColor="text1"/>
          <w:lang w:eastAsia="ru-RU"/>
        </w:rPr>
        <w:t xml:space="preserve">ебиторская задолженность в объеме 76 003,3 тыс. рублей, числящаяся за </w:t>
      </w:r>
      <w:r>
        <w:rPr>
          <w:color w:val="000000" w:themeColor="text1"/>
          <w:lang w:eastAsia="ru-RU"/>
        </w:rPr>
        <w:t xml:space="preserve">Департаментом строительства,</w:t>
      </w:r>
      <w:r>
        <w:rPr>
          <w:color w:val="000000" w:themeColor="text1"/>
          <w:lang w:eastAsia="ru-RU"/>
        </w:rPr>
        <w:t xml:space="preserve"> в рамках реализации </w:t>
      </w:r>
      <w:r>
        <w:rPr>
          <w:color w:val="000000" w:themeColor="text1"/>
          <w:lang w:eastAsia="ru-RU"/>
        </w:rPr>
        <w:t xml:space="preserve">национального проекта прошлых лет</w:t>
      </w:r>
      <w:r>
        <w:rPr>
          <w:color w:val="000000" w:themeColor="text1"/>
          <w:lang w:eastAsia="ru-RU"/>
        </w:rPr>
        <w:t xml:space="preserve"> «Демография» по РП «Спорт – норма жизни» </w:t>
      </w:r>
      <w:r>
        <w:rPr>
          <w:color w:val="000000" w:themeColor="text1"/>
          <w:lang w:eastAsia="ru-RU"/>
        </w:rPr>
        <w:t xml:space="preserve">на строительство объекта «Спортивный зал в с.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Лаврентия»</w:t>
      </w:r>
      <w:r>
        <w:rPr>
          <w:color w:val="000000" w:themeColor="text1"/>
          <w:lang w:eastAsia="ru-RU"/>
        </w:rPr>
        <w:t xml:space="preserve">. </w:t>
      </w:r>
      <w:r>
        <w:rPr>
          <w:color w:val="000000" w:themeColor="text1"/>
          <w:lang w:eastAsia="ru-RU"/>
        </w:rPr>
        <w:t xml:space="preserve">Всего на реализацию мероприятия направлено бюджетных средств в объеме 334 432,8 тыс. рублей, из них 231 329,7 тыс. рублей </w:t>
      </w:r>
      <w:r>
        <w:rPr>
          <w:color w:val="000000" w:themeColor="text1"/>
          <w:lang w:eastAsia="ru-RU"/>
        </w:rPr>
        <w:t xml:space="preserve">в рамках реализации НП «Демография». </w:t>
      </w:r>
      <w:r>
        <w:rPr>
          <w:color w:val="000000" w:themeColor="text1"/>
          <w:lang w:eastAsia="ru-RU"/>
        </w:rPr>
        <w:t xml:space="preserve">Стоимость фактически выполненных работ на 1 января 2026 года составила </w:t>
      </w:r>
      <w:r>
        <w:rPr>
          <w:color w:val="000000" w:themeColor="text1"/>
          <w:lang w:eastAsia="ru-RU"/>
        </w:rPr>
        <w:t xml:space="preserve">204 285,9 тыс. рублей, из них 155 326,4 тыс. рублей </w:t>
      </w:r>
      <w:r>
        <w:rPr>
          <w:color w:val="000000" w:themeColor="text1"/>
          <w:lang w:eastAsia="ru-RU"/>
        </w:rPr>
        <w:t xml:space="preserve">в рамках реализации НП</w:t>
      </w:r>
      <w:r>
        <w:rPr>
          <w:color w:val="000000" w:themeColor="text1"/>
          <w:lang w:eastAsia="ru-RU"/>
        </w:rPr>
        <w:t xml:space="preserve"> </w:t>
      </w:r>
      <w:r>
        <w:rPr>
          <w:color w:val="000000" w:themeColor="text1"/>
          <w:lang w:eastAsia="ru-RU"/>
        </w:rPr>
        <w:t xml:space="preserve">«Демография».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2.11.</w:t>
      </w:r>
      <w:r>
        <w:rPr>
          <w:color w:val="000000" w:themeColor="text1"/>
          <w:lang w:eastAsia="ru-RU"/>
        </w:rPr>
        <w:t xml:space="preserve"> На территории Чукотского автономного округа в рамках                                       </w:t>
      </w:r>
      <w:r>
        <w:rPr>
          <w:color w:val="000000" w:themeColor="text1"/>
          <w:lang w:eastAsia="ru-RU"/>
        </w:rPr>
        <w:t xml:space="preserve">НП «Международная кооперация и экспорт»</w:t>
      </w:r>
      <w:r>
        <w:rPr>
          <w:color w:val="000000" w:themeColor="text1"/>
          <w:lang w:eastAsia="ru-RU"/>
        </w:rPr>
        <w:t xml:space="preserve"> реализуются </w:t>
      </w:r>
      <w:r>
        <w:rPr>
          <w:color w:val="000000" w:themeColor="text1"/>
          <w:lang w:eastAsia="ru-RU"/>
        </w:rPr>
        <w:t xml:space="preserve">РП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«Системные </w:t>
      </w:r>
      <w:r>
        <w:rPr>
          <w:color w:val="000000" w:themeColor="text1"/>
          <w:lang w:eastAsia="ru-RU"/>
        </w:rPr>
        <w:t xml:space="preserve">меры развития международной кооперации и экспорта в Чукотском автономном округе»</w:t>
      </w:r>
      <w:r>
        <w:rPr>
          <w:color w:val="000000" w:themeColor="text1"/>
          <w:lang w:eastAsia="ru-RU"/>
        </w:rPr>
        <w:t xml:space="preserve"> без финан</w:t>
      </w:r>
      <w:r>
        <w:rPr>
          <w:color w:val="000000" w:themeColor="text1"/>
          <w:lang w:eastAsia="ru-RU"/>
        </w:rPr>
        <w:t xml:space="preserve">сового обеспечения.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По данным отчет</w:t>
      </w:r>
      <w:r>
        <w:rPr>
          <w:color w:val="000000" w:themeColor="text1"/>
          <w:lang w:eastAsia="ru-RU"/>
        </w:rPr>
        <w:t xml:space="preserve">а</w:t>
      </w:r>
      <w:r>
        <w:rPr>
          <w:color w:val="000000" w:themeColor="text1"/>
          <w:lang w:eastAsia="ru-RU"/>
        </w:rPr>
        <w:t xml:space="preserve"> о ходе реализации региональн</w:t>
      </w:r>
      <w:r>
        <w:rPr>
          <w:color w:val="000000" w:themeColor="text1"/>
          <w:lang w:eastAsia="ru-RU"/>
        </w:rPr>
        <w:t xml:space="preserve">ого</w:t>
      </w:r>
      <w:r>
        <w:rPr>
          <w:color w:val="000000" w:themeColor="text1"/>
          <w:lang w:eastAsia="ru-RU"/>
        </w:rPr>
        <w:t xml:space="preserve"> проект</w:t>
      </w:r>
      <w:r>
        <w:rPr>
          <w:color w:val="000000" w:themeColor="text1"/>
          <w:lang w:eastAsia="ru-RU"/>
        </w:rPr>
        <w:t xml:space="preserve">а</w:t>
      </w:r>
      <w:r>
        <w:rPr>
          <w:color w:val="000000" w:themeColor="text1"/>
          <w:lang w:eastAsia="ru-RU"/>
        </w:rPr>
        <w:t xml:space="preserve"> за 2025 год, установленные паспорт</w:t>
      </w:r>
      <w:r>
        <w:rPr>
          <w:color w:val="000000" w:themeColor="text1"/>
          <w:lang w:eastAsia="ru-RU"/>
        </w:rPr>
        <w:t xml:space="preserve">ом</w:t>
      </w:r>
      <w:r>
        <w:rPr>
          <w:color w:val="000000" w:themeColor="text1"/>
          <w:lang w:eastAsia="ru-RU"/>
        </w:rPr>
        <w:t xml:space="preserve"> региональн</w:t>
      </w:r>
      <w:r>
        <w:rPr>
          <w:color w:val="000000" w:themeColor="text1"/>
          <w:lang w:eastAsia="ru-RU"/>
        </w:rPr>
        <w:t xml:space="preserve">ого</w:t>
      </w:r>
      <w:r>
        <w:rPr>
          <w:color w:val="000000" w:themeColor="text1"/>
          <w:lang w:eastAsia="ru-RU"/>
        </w:rPr>
        <w:t xml:space="preserve"> проект</w:t>
      </w:r>
      <w:r>
        <w:rPr>
          <w:color w:val="000000" w:themeColor="text1"/>
          <w:lang w:eastAsia="ru-RU"/>
        </w:rPr>
        <w:t xml:space="preserve">а</w:t>
      </w:r>
      <w:r>
        <w:rPr>
          <w:color w:val="000000" w:themeColor="text1"/>
          <w:lang w:eastAsia="ru-RU"/>
        </w:rPr>
        <w:t xml:space="preserve">: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1</w:t>
      </w:r>
      <w:r>
        <w:rPr>
          <w:color w:val="000000" w:themeColor="text1"/>
          <w:lang w:eastAsia="ru-RU"/>
        </w:rPr>
        <w:t xml:space="preserve"> показател</w:t>
      </w:r>
      <w:r>
        <w:rPr>
          <w:color w:val="000000" w:themeColor="text1"/>
          <w:lang w:eastAsia="ru-RU"/>
        </w:rPr>
        <w:t xml:space="preserve">ь</w:t>
      </w:r>
      <w:r>
        <w:rPr>
          <w:color w:val="000000" w:themeColor="text1"/>
          <w:lang w:eastAsia="ru-RU"/>
        </w:rPr>
        <w:t xml:space="preserve"> достигнут;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все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2</w:t>
      </w:r>
      <w:r>
        <w:rPr>
          <w:color w:val="000000" w:themeColor="text1"/>
          <w:lang w:eastAsia="ru-RU"/>
        </w:rPr>
        <w:t xml:space="preserve"> результат</w:t>
      </w:r>
      <w:r>
        <w:rPr>
          <w:color w:val="000000" w:themeColor="text1"/>
          <w:lang w:eastAsia="ru-RU"/>
        </w:rPr>
        <w:t xml:space="preserve">а </w:t>
      </w:r>
      <w:r>
        <w:rPr>
          <w:color w:val="000000" w:themeColor="text1"/>
          <w:lang w:eastAsia="ru-RU"/>
        </w:rPr>
        <w:t xml:space="preserve">достигнут</w:t>
      </w:r>
      <w:r>
        <w:rPr>
          <w:color w:val="000000" w:themeColor="text1"/>
          <w:lang w:eastAsia="ru-RU"/>
        </w:rPr>
        <w:t xml:space="preserve">ы</w:t>
      </w:r>
      <w:r>
        <w:rPr>
          <w:color w:val="000000" w:themeColor="text1"/>
          <w:lang w:eastAsia="ru-RU"/>
        </w:rPr>
        <w:t xml:space="preserve">;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- </w:t>
      </w:r>
      <w:r>
        <w:rPr>
          <w:color w:val="000000" w:themeColor="text1"/>
          <w:lang w:eastAsia="ru-RU"/>
        </w:rPr>
        <w:t xml:space="preserve">все </w:t>
      </w:r>
      <w:r>
        <w:rPr>
          <w:color w:val="000000" w:themeColor="text1"/>
          <w:lang w:eastAsia="ru-RU"/>
        </w:rPr>
        <w:t xml:space="preserve">7</w:t>
      </w:r>
      <w:r>
        <w:rPr>
          <w:color w:val="000000" w:themeColor="text1"/>
          <w:lang w:eastAsia="ru-RU"/>
        </w:rPr>
        <w:t xml:space="preserve"> контрольных точек достигнуты.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lang w:eastAsia="ru-RU"/>
          <w14:ligatures w14:val="none"/>
        </w:rPr>
      </w:pPr>
      <w:r>
        <w:rPr>
          <w:color w:val="000000" w:themeColor="text1"/>
          <w:lang w:eastAsia="ru-RU"/>
        </w:rPr>
        <w:t xml:space="preserve">2.12.</w:t>
      </w:r>
      <w:r>
        <w:rPr>
          <w:color w:val="000000" w:themeColor="text1"/>
          <w:lang w:eastAsia="ru-RU"/>
        </w:rPr>
        <w:t xml:space="preserve"> В рамках </w:t>
      </w:r>
      <w:r>
        <w:rPr>
          <w:color w:val="000000" w:themeColor="text1"/>
          <w:lang w:eastAsia="ru-RU"/>
        </w:rPr>
        <w:t xml:space="preserve">НП «Беспилотные авиационные системы»</w:t>
      </w:r>
      <w:r>
        <w:rPr>
          <w:color w:val="000000" w:themeColor="text1"/>
          <w:lang w:eastAsia="ru-RU"/>
        </w:rPr>
        <w:t xml:space="preserve"> реализуется                   </w:t>
      </w:r>
      <w:r>
        <w:rPr>
          <w:color w:val="000000" w:themeColor="text1"/>
          <w:lang w:eastAsia="ru-RU"/>
        </w:rPr>
        <w:t xml:space="preserve">РП «Стимулирование спроса на отечественные беспилотные авиационные системы в Чукотском автономном округе»</w:t>
      </w:r>
      <w:r>
        <w:rPr>
          <w:color w:val="000000" w:themeColor="text1"/>
          <w:lang w:eastAsia="ru-RU"/>
        </w:rPr>
        <w:t xml:space="preserve">, мероприятия которого интегрированы в государственную программу «Развитие лесного хозяйства Чукотского автономного округа».</w:t>
      </w:r>
      <w:r>
        <w:rPr>
          <w:color w:val="000000" w:themeColor="text1"/>
          <w:lang w:eastAsia="ru-RU"/>
          <w14:ligatures w14:val="none"/>
        </w:rPr>
      </w:r>
      <w:r>
        <w:rPr>
          <w:color w:val="000000" w:themeColor="text1"/>
          <w:lang w:eastAsia="ru-RU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В отчетном периоде</w:t>
      </w:r>
      <w:r>
        <w:rPr>
          <w:color w:val="000000" w:themeColor="text1"/>
        </w:rPr>
        <w:t xml:space="preserve"> на реализацию регионального проекта направлены бюджетные ассигнования в сумме 2 099,8 тыс. рублей (средства федерального бюджета) или 100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% от утвержденных сводной бюджетной росписью ассигнований.  Ф</w:t>
      </w:r>
      <w:r>
        <w:rPr>
          <w:rFonts w:eastAsia="Times New Roman"/>
          <w:color w:val="000000" w:themeColor="text1"/>
          <w:lang w:eastAsia="ru-RU"/>
        </w:rPr>
        <w:t xml:space="preserve">актическое выполнение мероприятия регионального проекта составило 2 999,8 тыс. рублей, </w:t>
      </w:r>
      <w:r>
        <w:rPr>
          <w:color w:val="000000" w:themeColor="text1"/>
        </w:rPr>
        <w:t xml:space="preserve">из них 899,9 тыс. рублей за счет авансовых платежей 2024 года (рис. 10).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:sz w:val="6"/>
          <w:szCs w:val="6"/>
        </w:rPr>
      </w:pP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  <w:r>
        <w:rPr>
          <w:color w:val="000000" w:themeColor="text1"/>
          <w:sz w:val="6"/>
          <w:szCs w:val="6"/>
        </w:rPr>
      </w:r>
    </w:p>
    <w:p>
      <w:pPr>
        <w:pStyle w:val="4482"/>
        <w:ind w:firstLine="0"/>
        <w:spacing w:before="0" w:beforeAutospacing="0" w:after="0" w:afterAutospacing="0" w:line="240" w:lineRule="auto"/>
        <w:rPr>
          <w:color w:val="000000" w:themeColor="text1"/>
          <w:sz w:val="10"/>
          <w:szCs w:val="10"/>
        </w:rPr>
      </w:pPr>
      <w:r>
        <w:rPr>
          <w:color w:val="000000" w:themeColor="text1"/>
        </w:rPr>
        <w:drawing>
          <wp:inline distT="0" distB="0" distL="0" distR="0">
            <wp:extent cx="5918200" cy="1320800"/>
            <wp:effectExtent l="0" t="0" r="6350" b="1270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color w:val="000000" w:themeColor="text1"/>
          <w:sz w:val="10"/>
          <w:szCs w:val="10"/>
        </w:rPr>
      </w:r>
      <w:r>
        <w:rPr>
          <w:color w:val="000000" w:themeColor="text1"/>
          <w:sz w:val="10"/>
          <w:szCs w:val="10"/>
        </w:rPr>
      </w:r>
    </w:p>
    <w:p>
      <w:pPr>
        <w:pStyle w:val="4482"/>
        <w:jc w:val="center"/>
        <w:spacing w:before="0" w:beforeAutospacing="0" w:after="0" w:afterAutospacing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Рис. 10 (тыс. рублей)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4482"/>
        <w:spacing w:before="0" w:beforeAutospacing="0" w:after="0" w:afterAutospacing="0" w:line="240" w:lineRule="auto"/>
        <w:rPr>
          <w:b w:val="0"/>
          <w:bCs w:val="0"/>
          <w:i w:val="0"/>
          <w:iCs w:val="0"/>
          <w:color w:val="000000" w:themeColor="text1"/>
          <w14:ligatures w14:val="none"/>
        </w:rPr>
      </w:pP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По данным отчета о ходе реализации регионального проекта за 2025 год, установленные паспортом регионального проекта:</w:t>
      </w:r>
      <w:r>
        <w:rPr>
          <w:b w:val="0"/>
          <w:bCs w:val="0"/>
          <w:i w:val="0"/>
          <w:iCs w:val="0"/>
          <w:color w:val="000000" w:themeColor="text1"/>
          <w14:ligatures w14:val="none"/>
        </w:rPr>
      </w:r>
      <w:r>
        <w:rPr>
          <w:b w:val="0"/>
          <w:bCs w:val="0"/>
          <w:i w:val="0"/>
          <w:iCs w:val="0"/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b w:val="0"/>
          <w:bCs w:val="0"/>
          <w:i w:val="0"/>
          <w:iCs w:val="0"/>
          <w:color w:val="000000" w:themeColor="text1"/>
          <w14:ligatures w14:val="none"/>
        </w:rPr>
      </w:pP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- 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1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 показатель достигнут;</w:t>
      </w:r>
      <w:r>
        <w:rPr>
          <w:b w:val="0"/>
          <w:bCs w:val="0"/>
          <w:i w:val="0"/>
          <w:iCs w:val="0"/>
          <w:color w:val="000000" w:themeColor="text1"/>
          <w14:ligatures w14:val="none"/>
        </w:rPr>
      </w:r>
      <w:r>
        <w:rPr>
          <w:b w:val="0"/>
          <w:bCs w:val="0"/>
          <w:i w:val="0"/>
          <w:iCs w:val="0"/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b w:val="0"/>
          <w:bCs w:val="0"/>
          <w:i w:val="0"/>
          <w:iCs w:val="0"/>
          <w:color w:val="000000" w:themeColor="text1"/>
          <w14:ligatures w14:val="none"/>
        </w:rPr>
      </w:pP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- 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все 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2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 результат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а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 достигнуты;</w:t>
      </w:r>
      <w:r>
        <w:rPr>
          <w:b w:val="0"/>
          <w:bCs w:val="0"/>
          <w:i w:val="0"/>
          <w:iCs w:val="0"/>
          <w:color w:val="000000" w:themeColor="text1"/>
          <w14:ligatures w14:val="none"/>
        </w:rPr>
      </w:r>
      <w:r>
        <w:rPr>
          <w:b w:val="0"/>
          <w:bCs w:val="0"/>
          <w:i w:val="0"/>
          <w:iCs w:val="0"/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b w:val="0"/>
          <w:bCs w:val="0"/>
          <w:i w:val="0"/>
          <w:iCs w:val="0"/>
          <w:color w:val="000000" w:themeColor="text1"/>
          <w14:ligatures w14:val="none"/>
        </w:rPr>
      </w:pP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- 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все 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7</w:t>
      </w:r>
      <w:r>
        <w:rPr>
          <w:b w:val="0"/>
          <w:bCs w:val="0"/>
          <w:i w:val="0"/>
          <w:iCs w:val="0"/>
          <w:color w:val="000000" w:themeColor="text1"/>
          <w:lang w:eastAsia="ru-RU"/>
        </w:rPr>
        <w:t xml:space="preserve"> контрольных точек достигнуты.</w:t>
      </w:r>
      <w:r>
        <w:rPr>
          <w:b w:val="0"/>
          <w:bCs w:val="0"/>
          <w:i w:val="0"/>
          <w:iCs w:val="0"/>
          <w:color w:val="000000" w:themeColor="text1"/>
          <w14:ligatures w14:val="none"/>
        </w:rPr>
      </w:r>
      <w:r>
        <w:rPr>
          <w:b w:val="0"/>
          <w:bCs w:val="0"/>
          <w:i w:val="0"/>
          <w:iCs w:val="0"/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b w:val="0"/>
          <w:bCs w:val="0"/>
          <w:i w:val="0"/>
          <w:iCs w:val="0"/>
          <w:color w:val="000000" w:themeColor="text1"/>
        </w:rPr>
        <w:t xml:space="preserve">Анализ хода реализации региональных проектов в рамках                                                </w:t>
      </w:r>
      <w:r>
        <w:rPr>
          <w:b w:val="0"/>
          <w:bCs w:val="0"/>
          <w:i w:val="0"/>
          <w:iCs w:val="0"/>
          <w:color w:val="000000" w:themeColor="text1"/>
        </w:rPr>
        <w:t xml:space="preserve">НП «Беспилотные авиационные системы»</w:t>
      </w:r>
      <w:r>
        <w:rPr>
          <w:b w:val="0"/>
          <w:bCs w:val="0"/>
          <w:i w:val="0"/>
          <w:iCs w:val="0"/>
          <w:color w:val="000000" w:themeColor="text1"/>
        </w:rPr>
        <w:t xml:space="preserve"> показал сле</w:t>
      </w:r>
      <w:r>
        <w:rPr>
          <w:color w:val="000000" w:themeColor="text1"/>
        </w:rPr>
        <w:t xml:space="preserve">дующее.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В рамках реализации </w:t>
      </w:r>
      <w:r>
        <w:rPr>
          <w:b/>
          <w:color w:val="000000" w:themeColor="text1"/>
        </w:rPr>
        <w:t xml:space="preserve">РП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«Стимулирование спроса на отечественные беспилотные авиационные системы в Чукотском автономном округе»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целях приобретения беспилот</w:t>
      </w:r>
      <w:r>
        <w:rPr>
          <w:color w:val="000000" w:themeColor="text1"/>
        </w:rPr>
        <w:t xml:space="preserve">ных авиационных систем органами исполнительной власти субъектов Российской Федерации в области лесных отношений заключен ГК №01/2024 от 16.07.2024 с АО «Государственная транспортная лизинговая компания» на сумму 2 999,8 рублей на приобретение 2 единиц БАС </w:t>
      </w:r>
      <w:r>
        <w:rPr>
          <w:color w:val="000000" w:themeColor="text1"/>
        </w:rPr>
        <w:t xml:space="preserve">Геоксан</w:t>
      </w:r>
      <w:r>
        <w:rPr>
          <w:color w:val="000000" w:themeColor="text1"/>
        </w:rPr>
        <w:t xml:space="preserve"> 801</w:t>
      </w:r>
      <w:r>
        <w:rPr>
          <w:color w:val="000000" w:themeColor="text1"/>
        </w:rPr>
        <w:t xml:space="preserve">, госконтракт исполнен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b/>
          <w:color w:val="000000" w:themeColor="text1"/>
          <w:sz w:val="6"/>
          <w:szCs w:val="6"/>
        </w:rPr>
      </w:pPr>
      <w:r>
        <w:rPr>
          <w:b/>
          <w:color w:val="000000" w:themeColor="text1"/>
          <w:sz w:val="6"/>
          <w:szCs w:val="6"/>
        </w:rPr>
      </w:r>
      <w:r>
        <w:rPr>
          <w:b/>
          <w:color w:val="000000" w:themeColor="text1"/>
          <w:sz w:val="6"/>
          <w:szCs w:val="6"/>
        </w:rPr>
      </w:r>
      <w:r>
        <w:rPr>
          <w:b/>
          <w:color w:val="000000" w:themeColor="text1"/>
          <w:sz w:val="6"/>
          <w:szCs w:val="6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b/>
          <w:color w:val="000000" w:themeColor="text1"/>
        </w:rPr>
        <w:t xml:space="preserve">2.13.</w:t>
      </w:r>
      <w:r>
        <w:rPr>
          <w:color w:val="000000" w:themeColor="text1"/>
        </w:rPr>
        <w:t xml:space="preserve">  По данным ГИИС в рамках </w:t>
      </w:r>
      <w:r>
        <w:rPr>
          <w:b/>
          <w:i/>
          <w:color w:val="000000" w:themeColor="text1"/>
        </w:rPr>
        <w:t xml:space="preserve">НП «Безопасные качественные дороги»</w:t>
      </w:r>
      <w:r>
        <w:rPr>
          <w:color w:val="000000" w:themeColor="text1"/>
        </w:rPr>
        <w:t xml:space="preserve"> на территории округа утверждены региональные проекты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переходящие с 2024 года,</w:t>
      </w:r>
      <w:r>
        <w:rPr>
          <w:color w:val="000000" w:themeColor="text1"/>
        </w:rPr>
        <w:t xml:space="preserve"> без финансового обеспечения:</w:t>
      </w:r>
      <w:r>
        <w:rPr>
          <w:b/>
          <w:color w:val="000000" w:themeColor="text1"/>
        </w:rPr>
        <w:t xml:space="preserve"> РП «Региональная и местная дорожная сеть (Дорожная сеть)»</w:t>
      </w:r>
      <w:r>
        <w:rPr>
          <w:color w:val="000000" w:themeColor="text1"/>
        </w:rPr>
        <w:t xml:space="preserve">, </w:t>
      </w:r>
      <w:r>
        <w:rPr>
          <w:b/>
          <w:color w:val="000000" w:themeColor="text1"/>
        </w:rPr>
        <w:t xml:space="preserve">РП «Общесистемные меры развития дорожного хозяйства»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и </w:t>
      </w:r>
      <w:r>
        <w:rPr>
          <w:b/>
          <w:color w:val="000000" w:themeColor="text1"/>
        </w:rPr>
        <w:t xml:space="preserve">РП «Безопасность дорожного движения», наименования которых дублируют региональные проекты </w:t>
      </w:r>
      <w:r>
        <w:rPr>
          <w:b/>
          <w:color w:val="000000" w:themeColor="text1"/>
        </w:rPr>
        <w:t xml:space="preserve">в рамках </w:t>
      </w:r>
      <w:r>
        <w:rPr>
          <w:b/>
          <w:i/>
          <w:color w:val="000000" w:themeColor="text1"/>
        </w:rPr>
        <w:t xml:space="preserve">НП «Инфраструктура для жизни».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  <w14:ligatures w14:val="none"/>
        </w:rPr>
      </w:pPr>
      <w:r>
        <w:rPr>
          <w:color w:val="000000" w:themeColor="text1"/>
          <w:lang w:eastAsia="ru-RU"/>
        </w:rPr>
        <w:t xml:space="preserve">Информация о реализации </w:t>
      </w:r>
      <w:r>
        <w:rPr>
          <w:color w:val="000000" w:themeColor="text1"/>
          <w:lang w:eastAsia="ru-RU"/>
        </w:rPr>
        <w:t xml:space="preserve">национальных</w:t>
      </w:r>
      <w:r>
        <w:rPr>
          <w:color w:val="000000" w:themeColor="text1"/>
          <w:lang w:eastAsia="ru-RU"/>
        </w:rPr>
        <w:t xml:space="preserve"> проектов в Чукотском автономном округе за 2025 год приведена в Приложении №1</w:t>
      </w:r>
      <w:r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к настоящему </w:t>
      </w:r>
      <w:r>
        <w:rPr>
          <w:color w:val="000000" w:themeColor="text1"/>
          <w:lang w:eastAsia="ru-RU"/>
        </w:rPr>
        <w:t xml:space="preserve">отчету</w:t>
      </w:r>
      <w:r>
        <w:rPr>
          <w:color w:val="000000" w:themeColor="text1"/>
          <w:lang w:eastAsia="ru-RU"/>
        </w:rPr>
        <w:t xml:space="preserve">.</w:t>
      </w:r>
      <w:r>
        <w:rPr>
          <w:color w:val="000000" w:themeColor="text1"/>
        </w:rPr>
        <w:t xml:space="preserve"> </w:t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b/>
          <w:bCs/>
          <w:color w:val="000000" w:themeColor="text1"/>
          <w14:ligatures w14:val="none"/>
        </w:rPr>
      </w:pPr>
      <w:r>
        <w:rPr>
          <w:b/>
          <w:bCs/>
          <w:color w:val="000000" w:themeColor="text1"/>
        </w:rPr>
        <w:t xml:space="preserve">В</w:t>
      </w:r>
      <w:r>
        <w:rPr>
          <w:b/>
          <w:bCs/>
          <w:color w:val="000000" w:themeColor="text1"/>
        </w:rPr>
        <w:t xml:space="preserve">ыводы</w:t>
      </w:r>
      <w:r>
        <w:rPr>
          <w:b/>
          <w:bCs/>
          <w:color w:val="000000" w:themeColor="text1"/>
        </w:rPr>
        <w:t xml:space="preserve">:</w:t>
      </w:r>
      <w:r>
        <w:rPr>
          <w:b/>
          <w:bCs/>
          <w:color w:val="000000" w:themeColor="text1"/>
          <w14:ligatures w14:val="none"/>
        </w:rPr>
      </w:r>
      <w:r>
        <w:rPr>
          <w:b/>
          <w:bCs/>
          <w:color w:val="000000" w:themeColor="text1"/>
          <w14:ligatures w14:val="none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1. </w:t>
      </w:r>
      <w:r>
        <w:rPr>
          <w:color w:val="000000" w:themeColor="text1"/>
        </w:rPr>
        <w:t xml:space="preserve">Чукотский автономный округ принимает участие </w:t>
      </w:r>
      <w:r>
        <w:rPr>
          <w:color w:val="000000" w:themeColor="text1"/>
        </w:rPr>
        <w:t xml:space="preserve">в 12 из 19 национальных проектов («Продолжительная и активная жизнь», «Технологическое обес</w:t>
      </w:r>
      <w:r>
        <w:rPr>
          <w:color w:val="000000" w:themeColor="text1"/>
        </w:rPr>
        <w:t xml:space="preserve">печение продовольственной безопасности», «Инфраструктура для жизни», «Кадры»,</w:t>
      </w:r>
      <w:r>
        <w:rPr>
          <w:color w:val="000000" w:themeColor="text1"/>
        </w:rPr>
        <w:t xml:space="preserve"> «Туризм и гостеприимство», «Экономика данных и цифровая трансформация государства», «Экологическое благополучие», «Эффективная и конкурентная экономика», «Молодежь и дети», «Семья», «Международная кооперация и экспорт», «Беспилотные авиационные системы»).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 xml:space="preserve">На 2024-2030 годы в Чукотском автономном округе разработаны                                      и утверждены Проектным офисом 43 региональных проекта в ГИИС, из них четыре региональных проекта – переходящие с 2024 года в рамках двух НП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«Беспилотные авиационные системы» и «</w:t>
      </w:r>
      <w:r>
        <w:rPr>
          <w:rFonts w:eastAsia="Times New Roman"/>
          <w:color w:val="000000" w:themeColor="text1"/>
          <w:lang w:eastAsia="ru-RU"/>
        </w:rPr>
        <w:t xml:space="preserve">Безопасные качественные дороги</w:t>
      </w:r>
      <w:r>
        <w:rPr>
          <w:color w:val="000000" w:themeColor="text1"/>
        </w:rPr>
        <w:t xml:space="preserve">»</w:t>
      </w:r>
      <w:r>
        <w:rPr>
          <w:color w:val="000000" w:themeColor="text1"/>
        </w:rPr>
        <w:t xml:space="preserve">. 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3. </w:t>
      </w:r>
      <w:r>
        <w:rPr>
          <w:color w:val="000000" w:themeColor="text1"/>
        </w:rPr>
        <w:t xml:space="preserve">Реализация региональных проектов в рамках национальных проектов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Чукотском автономном округе предусмотрена на период 2024-2030 годов </w:t>
      </w:r>
      <w:r>
        <w:rPr>
          <w:color w:val="000000" w:themeColor="text1"/>
        </w:rPr>
        <w:t xml:space="preserve">с объемом финансовых ресурсов в сумме 19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803</w:t>
      </w:r>
      <w:r>
        <w:rPr>
          <w:color w:val="000000" w:themeColor="text1"/>
        </w:rPr>
        <w:t xml:space="preserve"> 069,8 тыс. </w:t>
      </w:r>
      <w:r>
        <w:rPr>
          <w:color w:val="000000" w:themeColor="text1"/>
        </w:rPr>
        <w:t xml:space="preserve">рублей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4. </w:t>
      </w:r>
      <w:r>
        <w:rPr>
          <w:color w:val="000000" w:themeColor="text1"/>
        </w:rPr>
        <w:t xml:space="preserve">Сводной бюджетной росписью на 2025 год утвержден объем бюджетных ассигнований на реализацию мероприятий 24 региональных проектов на общую сумму 5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818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9</w:t>
      </w:r>
      <w:r>
        <w:rPr>
          <w:color w:val="000000" w:themeColor="text1"/>
        </w:rPr>
        <w:t xml:space="preserve">66,4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тыс.</w:t>
      </w:r>
      <w:r>
        <w:rPr>
          <w:color w:val="000000" w:themeColor="text1"/>
        </w:rPr>
        <w:t xml:space="preserve"> рублей.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</w:rPr>
      </w:pPr>
      <w:r>
        <w:rPr>
          <w:color w:val="000000" w:themeColor="text1"/>
        </w:rPr>
        <w:t xml:space="preserve">5. </w:t>
      </w:r>
      <w:r>
        <w:rPr>
          <w:color w:val="000000" w:themeColor="text1"/>
        </w:rPr>
        <w:t xml:space="preserve">За январь</w:t>
      </w:r>
      <w:r>
        <w:rPr>
          <w:color w:val="000000" w:themeColor="text1"/>
        </w:rPr>
        <w:t xml:space="preserve"> – </w:t>
      </w:r>
      <w:r>
        <w:rPr>
          <w:color w:val="000000" w:themeColor="text1"/>
        </w:rPr>
        <w:t xml:space="preserve">декабрь 2025 года </w:t>
      </w:r>
      <w:r>
        <w:rPr>
          <w:rFonts w:eastAsia="Times New Roman"/>
          <w:color w:val="000000" w:themeColor="text1"/>
          <w:lang w:eastAsia="ru-RU"/>
        </w:rPr>
        <w:t xml:space="preserve">на реализацию 24 региональных проектов направлено 5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734</w:t>
      </w:r>
      <w:r>
        <w:rPr>
          <w:rFonts w:eastAsia="Times New Roman"/>
          <w:color w:val="000000" w:themeColor="text1"/>
          <w:lang w:eastAsia="ru-RU"/>
        </w:rPr>
        <w:t xml:space="preserve"> 089,2 тыс.</w:t>
      </w:r>
      <w:r>
        <w:rPr>
          <w:rFonts w:eastAsia="Times New Roman"/>
          <w:color w:val="000000" w:themeColor="text1"/>
          <w:lang w:eastAsia="ru-RU"/>
        </w:rPr>
        <w:t xml:space="preserve"> рублей или 98,5% от утвержденных бюджетных ассигнований.</w:t>
      </w: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6.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Фактическое исполнение мероприятий региональных проектов </w:t>
      </w:r>
      <w:r>
        <w:rPr>
          <w:color w:val="000000" w:themeColor="text1"/>
        </w:rPr>
        <w:t xml:space="preserve">за 2025 год составило </w:t>
      </w:r>
      <w:r>
        <w:rPr>
          <w:color w:val="000000" w:themeColor="text1"/>
        </w:rPr>
        <w:t xml:space="preserve">5</w:t>
      </w:r>
      <w:r>
        <w:rPr>
          <w:color w:val="000000" w:themeColor="text1"/>
        </w:rPr>
        <w:t xml:space="preserve"> 721</w:t>
      </w:r>
      <w:r>
        <w:rPr>
          <w:color w:val="000000" w:themeColor="text1"/>
        </w:rPr>
        <w:t xml:space="preserve"> 697,4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тыс. рублей, в том числе: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сумму </w:t>
      </w:r>
      <w:r>
        <w:rPr>
          <w:color w:val="000000" w:themeColor="text1"/>
        </w:rPr>
        <w:t xml:space="preserve">5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023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956,2</w:t>
      </w:r>
      <w:r>
        <w:rPr>
          <w:color w:val="000000" w:themeColor="text1"/>
        </w:rPr>
        <w:t xml:space="preserve"> тыс. рублей или </w:t>
      </w:r>
      <w:r>
        <w:rPr>
          <w:color w:val="000000" w:themeColor="text1"/>
        </w:rPr>
        <w:t xml:space="preserve">87,6 </w:t>
      </w:r>
      <w:r>
        <w:rPr>
          <w:color w:val="000000" w:themeColor="text1"/>
        </w:rPr>
        <w:t xml:space="preserve">% от направленных </w:t>
      </w:r>
      <w:r>
        <w:rPr>
          <w:color w:val="000000" w:themeColor="text1"/>
        </w:rPr>
        <w:t xml:space="preserve">в отчетном периоде бюджетных ассигнований – фактически поставлены товарно-материальные ценности, выполнены работы, оказаны услуги;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на сумму </w:t>
      </w:r>
      <w:r>
        <w:rPr>
          <w:color w:val="000000" w:themeColor="text1"/>
        </w:rPr>
        <w:t xml:space="preserve">697 741,2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тыс. рублей выполнены работы, поставлены товарно-материальные ценности, оказаны услуги за счет бюджетных ассигнований </w:t>
      </w:r>
      <w:r>
        <w:rPr>
          <w:color w:val="000000" w:themeColor="text1"/>
        </w:rPr>
        <w:t xml:space="preserve">прошлых лет (</w:t>
      </w:r>
      <w:r>
        <w:rPr>
          <w:color w:val="000000" w:themeColor="text1"/>
        </w:rPr>
        <w:t xml:space="preserve">202</w:t>
      </w:r>
      <w:r>
        <w:rPr>
          <w:color w:val="000000" w:themeColor="text1"/>
        </w:rPr>
        <w:t xml:space="preserve">1</w:t>
      </w:r>
      <w:r>
        <w:rPr>
          <w:color w:val="000000" w:themeColor="text1"/>
        </w:rPr>
        <w:t xml:space="preserve">-2024 годов</w:t>
      </w:r>
      <w:r>
        <w:rPr>
          <w:color w:val="000000" w:themeColor="text1"/>
        </w:rPr>
        <w:t xml:space="preserve">)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Основными причинами низкого уровня фактического исполнения мероприятий региональных проектов являются: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 перенос сроков выполнения работ, поставку ТМЦ, оказания услуг на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следующие периоды (2026, 2027годы);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 предоставление в текущем году авансирования по муниципальным контрактам со сроками исполнения в 2026-2027 годах;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 расторжение заключенных контрактов на выполнение работ в текущем году.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7. По состоянию на 1 </w:t>
      </w:r>
      <w:r>
        <w:rPr>
          <w:color w:val="000000" w:themeColor="text1"/>
        </w:rPr>
        <w:t xml:space="preserve">января</w:t>
      </w:r>
      <w:r>
        <w:rPr>
          <w:color w:val="000000" w:themeColor="text1"/>
        </w:rPr>
        <w:t xml:space="preserve"> 202</w:t>
      </w:r>
      <w:r>
        <w:rPr>
          <w:color w:val="000000" w:themeColor="text1"/>
        </w:rPr>
        <w:t xml:space="preserve">6</w:t>
      </w:r>
      <w:r>
        <w:rPr>
          <w:color w:val="000000" w:themeColor="text1"/>
        </w:rPr>
        <w:t xml:space="preserve"> года бюджетные ассигнования в общей сумме </w:t>
      </w:r>
      <w:r>
        <w:rPr>
          <w:color w:val="000000" w:themeColor="text1"/>
        </w:rPr>
        <w:t xml:space="preserve">710 133,0</w:t>
      </w:r>
      <w:r>
        <w:rPr>
          <w:color w:val="000000" w:themeColor="text1"/>
        </w:rPr>
        <w:t xml:space="preserve"> тыс. рублей </w:t>
      </w:r>
      <w:r>
        <w:rPr>
          <w:color w:val="000000" w:themeColor="text1"/>
        </w:rPr>
        <w:t xml:space="preserve">12,4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% от средств, направленных на реализацию региональных проектов (кассовый расход) </w:t>
      </w:r>
      <w:r>
        <w:rPr>
          <w:color w:val="000000" w:themeColor="text1"/>
        </w:rPr>
        <w:t xml:space="preserve">в</w:t>
      </w:r>
      <w:r>
        <w:rPr>
          <w:color w:val="000000" w:themeColor="text1"/>
        </w:rPr>
        <w:t xml:space="preserve"> 2025 год</w:t>
      </w:r>
      <w:r>
        <w:rPr>
          <w:color w:val="000000" w:themeColor="text1"/>
        </w:rPr>
        <w:t xml:space="preserve">у</w:t>
      </w:r>
      <w:r>
        <w:rPr>
          <w:color w:val="000000" w:themeColor="text1"/>
        </w:rPr>
        <w:t xml:space="preserve"> числятся в авансовых платежах.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</w:rPr>
      </w:pPr>
      <w:r>
        <w:rPr>
          <w:color w:val="000000" w:themeColor="text1"/>
        </w:rPr>
        <w:t xml:space="preserve">8.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Неиспользованные бюджетные ассигнования, предоставленные                                     на реализацию мероприятий региональных проектов (осуществлен возврат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окружной бюджет), </w:t>
      </w:r>
      <w:r>
        <w:rPr>
          <w:rFonts w:eastAsia="Times New Roman"/>
          <w:color w:val="000000" w:themeColor="text1"/>
          <w:lang w:eastAsia="ru-RU"/>
        </w:rPr>
        <w:t xml:space="preserve">составили 219 095,6 тыс. рублей, из них 214 842,7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тыс.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рублей остатки неиспользованных средств </w:t>
      </w:r>
      <w:r>
        <w:rPr>
          <w:color w:val="000000" w:themeColor="text1"/>
        </w:rPr>
        <w:t xml:space="preserve">субсидий на иные цели, потребность использования которых в 2026 году подтвержден</w:t>
      </w:r>
      <w:r>
        <w:rPr>
          <w:color w:val="000000" w:themeColor="text1"/>
        </w:rPr>
        <w:t xml:space="preserve">а для реализации национальных проектов «Продолжительная и активная жизнь» </w:t>
      </w:r>
      <w:r>
        <w:rPr>
          <w:color w:val="000000" w:themeColor="text1"/>
        </w:rPr>
        <w:br/>
      </w:r>
      <w:r>
        <w:rPr>
          <w:color w:val="000000" w:themeColor="text1"/>
        </w:rPr>
        <w:t xml:space="preserve">и «Инфраструктура для жизни». </w:t>
      </w: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rFonts w:eastAsia="Times New Roman"/>
          <w:color w:val="000000" w:themeColor="text1"/>
          <w:lang w:eastAsia="ru-RU"/>
        </w:rPr>
      </w:pPr>
      <w:r>
        <w:rPr>
          <w:color w:val="000000" w:themeColor="text1"/>
        </w:rPr>
        <w:t xml:space="preserve">9.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По состоянию 1 января 2026 года дебиторская задолженность составила </w:t>
      </w:r>
      <w:r>
        <w:rPr>
          <w:color w:val="000000" w:themeColor="text1"/>
        </w:rPr>
        <w:t xml:space="preserve">1 905 261,5</w:t>
      </w:r>
      <w:r>
        <w:rPr>
          <w:color w:val="000000" w:themeColor="text1"/>
        </w:rPr>
        <w:t xml:space="preserve"> тыс. рублей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из них </w:t>
      </w:r>
      <w:r>
        <w:rPr>
          <w:color w:val="000000" w:themeColor="text1"/>
        </w:rPr>
        <w:t xml:space="preserve">1 330 400,</w:t>
      </w:r>
      <w:r>
        <w:rPr>
          <w:color w:val="000000" w:themeColor="text1"/>
        </w:rPr>
        <w:t xml:space="preserve">1</w:t>
      </w:r>
      <w:r>
        <w:rPr>
          <w:color w:val="000000" w:themeColor="text1"/>
        </w:rPr>
        <w:t xml:space="preserve"> тыс. рублей </w:t>
      </w:r>
      <w:r>
        <w:rPr>
          <w:rFonts w:eastAsia="Times New Roman"/>
          <w:color w:val="000000" w:themeColor="text1"/>
          <w:lang w:eastAsia="ru-RU"/>
        </w:rPr>
        <w:t xml:space="preserve">в рамках реализации </w:t>
      </w:r>
      <w:r>
        <w:rPr>
          <w:color w:val="000000" w:themeColor="text1"/>
        </w:rPr>
        <w:t xml:space="preserve">национальн</w:t>
      </w:r>
      <w:r>
        <w:rPr>
          <w:color w:val="000000" w:themeColor="text1"/>
        </w:rPr>
        <w:t xml:space="preserve">ых</w:t>
      </w:r>
      <w:r>
        <w:rPr>
          <w:color w:val="000000" w:themeColor="text1"/>
        </w:rPr>
        <w:t xml:space="preserve"> проект</w:t>
      </w:r>
      <w:r>
        <w:rPr>
          <w:color w:val="000000" w:themeColor="text1"/>
        </w:rPr>
        <w:t xml:space="preserve">ов</w:t>
      </w:r>
      <w:r>
        <w:rPr>
          <w:color w:val="000000" w:themeColor="text1"/>
        </w:rPr>
        <w:t xml:space="preserve"> прошлых лет «Жиль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 и городская среда» (РП «Жилье» и РП «Обеспечение устойчивого сокращения непригодного для проживания жилищного фонда»), </w:t>
      </w:r>
      <w:r>
        <w:rPr>
          <w:rFonts w:eastAsia="Times New Roman"/>
          <w:color w:val="000000" w:themeColor="text1"/>
          <w:lang w:eastAsia="ru-RU"/>
        </w:rPr>
        <w:t xml:space="preserve">«Культура» (РП «Культурная среда»), «</w:t>
      </w:r>
      <w:r>
        <w:rPr>
          <w:rFonts w:eastAsia="Times New Roman"/>
          <w:color w:val="000000" w:themeColor="text1"/>
          <w:lang w:eastAsia="ru-RU"/>
        </w:rPr>
        <w:t xml:space="preserve">Демография</w:t>
      </w:r>
      <w:r>
        <w:rPr>
          <w:rFonts w:eastAsia="Times New Roman"/>
          <w:color w:val="000000" w:themeColor="text1"/>
          <w:lang w:eastAsia="ru-RU"/>
        </w:rPr>
        <w:t xml:space="preserve">»</w:t>
      </w:r>
      <w:r>
        <w:rPr>
          <w:rFonts w:eastAsia="Times New Roman"/>
          <w:color w:val="000000" w:themeColor="text1"/>
          <w:lang w:eastAsia="ru-RU"/>
        </w:rPr>
        <w:t xml:space="preserve"> (</w:t>
      </w:r>
      <w:r>
        <w:rPr>
          <w:rFonts w:eastAsia="Times New Roman"/>
          <w:color w:val="000000" w:themeColor="text1"/>
          <w:lang w:eastAsia="ru-RU"/>
        </w:rPr>
        <w:t xml:space="preserve">РП</w:t>
      </w:r>
      <w:r>
        <w:rPr>
          <w:rFonts w:eastAsia="Times New Roman"/>
          <w:color w:val="000000" w:themeColor="text1"/>
          <w:lang w:eastAsia="ru-RU"/>
        </w:rPr>
        <w:t xml:space="preserve"> </w:t>
      </w:r>
      <w:r>
        <w:rPr>
          <w:rFonts w:eastAsia="Times New Roman"/>
          <w:color w:val="000000" w:themeColor="text1"/>
          <w:lang w:eastAsia="ru-RU"/>
        </w:rPr>
        <w:t xml:space="preserve">«Содействие занятости» и </w:t>
      </w:r>
      <w:r>
        <w:rPr>
          <w:rFonts w:eastAsia="Times New Roman"/>
          <w:color w:val="000000" w:themeColor="text1"/>
          <w:lang w:eastAsia="ru-RU"/>
        </w:rPr>
        <w:t xml:space="preserve">РП «Спорт-норма жизни»)</w:t>
      </w:r>
      <w:r>
        <w:rPr>
          <w:rFonts w:eastAsia="Times New Roman"/>
          <w:color w:val="000000" w:themeColor="text1"/>
          <w:lang w:eastAsia="ru-RU"/>
        </w:rPr>
        <w:t xml:space="preserve">, «</w:t>
      </w:r>
      <w:r>
        <w:rPr>
          <w:rFonts w:eastAsia="Times New Roman"/>
          <w:color w:val="000000" w:themeColor="text1"/>
          <w:lang w:eastAsia="ru-RU"/>
        </w:rPr>
        <w:t xml:space="preserve">Туризм и индустрия гостеприимства</w:t>
      </w:r>
      <w:r>
        <w:rPr>
          <w:rFonts w:eastAsia="Times New Roman"/>
          <w:color w:val="000000" w:themeColor="text1"/>
          <w:lang w:eastAsia="ru-RU"/>
        </w:rPr>
        <w:t xml:space="preserve">»</w:t>
      </w:r>
      <w:r>
        <w:rPr>
          <w:rFonts w:eastAsia="Times New Roman"/>
          <w:color w:val="000000" w:themeColor="text1"/>
          <w:lang w:eastAsia="ru-RU"/>
        </w:rPr>
        <w:t xml:space="preserve"> (РП «Развитие туристической инфраструктуры»)</w:t>
      </w:r>
      <w:r>
        <w:rPr>
          <w:rFonts w:eastAsia="Times New Roman"/>
          <w:color w:val="000000" w:themeColor="text1"/>
          <w:lang w:eastAsia="ru-RU"/>
        </w:rPr>
        <w:t xml:space="preserve">, «</w:t>
      </w:r>
      <w:r>
        <w:rPr>
          <w:rFonts w:eastAsia="Times New Roman"/>
          <w:color w:val="000000" w:themeColor="text1"/>
          <w:lang w:eastAsia="ru-RU"/>
        </w:rPr>
        <w:t xml:space="preserve">Экология</w:t>
      </w:r>
      <w:r>
        <w:rPr>
          <w:rFonts w:eastAsia="Times New Roman"/>
          <w:color w:val="000000" w:themeColor="text1"/>
          <w:lang w:eastAsia="ru-RU"/>
        </w:rPr>
        <w:t xml:space="preserve">»</w:t>
      </w:r>
      <w:r>
        <w:rPr>
          <w:rFonts w:eastAsia="Times New Roman"/>
          <w:color w:val="000000" w:themeColor="text1"/>
          <w:lang w:eastAsia="ru-RU"/>
        </w:rPr>
        <w:t xml:space="preserve"> (РП «Чистая страна»)</w:t>
      </w:r>
      <w:r>
        <w:rPr>
          <w:rFonts w:eastAsia="Times New Roman"/>
          <w:color w:val="000000" w:themeColor="text1"/>
          <w:lang w:eastAsia="ru-RU"/>
        </w:rPr>
        <w:t xml:space="preserve">, «</w:t>
      </w:r>
      <w:r>
        <w:rPr>
          <w:rFonts w:eastAsia="Times New Roman"/>
          <w:color w:val="000000" w:themeColor="text1"/>
          <w:lang w:eastAsia="ru-RU"/>
        </w:rPr>
        <w:t xml:space="preserve">Образование</w:t>
      </w:r>
      <w:r>
        <w:rPr>
          <w:rFonts w:eastAsia="Times New Roman"/>
          <w:color w:val="000000" w:themeColor="text1"/>
          <w:lang w:eastAsia="ru-RU"/>
        </w:rPr>
        <w:t xml:space="preserve">»</w:t>
      </w:r>
      <w:r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 xml:space="preserve">(РП «Современная школа») и «Малое и среднее предпринимательство </w:t>
      </w:r>
      <w:r>
        <w:rPr>
          <w:rFonts w:eastAsia="Times New Roman"/>
          <w:color w:val="000000" w:themeColor="text1"/>
          <w:lang w:eastAsia="ru-RU"/>
        </w:rPr>
        <w:t xml:space="preserve">и поддержка индивидуальной предпринимательской инициативы»</w:t>
      </w:r>
      <w:r>
        <w:rPr>
          <w:rFonts w:eastAsia="Times New Roman"/>
          <w:color w:val="000000" w:themeColor="text1"/>
          <w:lang w:eastAsia="ru-RU"/>
        </w:rPr>
        <w:t xml:space="preserve">, </w:t>
      </w:r>
      <w:r>
        <w:rPr>
          <w:rFonts w:eastAsia="Times New Roman"/>
          <w:color w:val="000000" w:themeColor="text1"/>
          <w:lang w:eastAsia="ru-RU"/>
        </w:rPr>
        <w:t xml:space="preserve">в том числе:</w:t>
      </w: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100 806,8 тыс. рублей в рамках предоставленной субсидии Администрации Провиденского МО на строительство 26 жилых помещений </w:t>
      </w:r>
      <w:r>
        <w:rPr>
          <w:color w:val="000000" w:themeColor="text1"/>
        </w:rPr>
        <w:t xml:space="preserve">в 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Нунлигран;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 w:line="240" w:lineRule="auto"/>
        <w:rPr>
          <w:color w:val="000000" w:themeColor="text1"/>
        </w:rPr>
      </w:pPr>
      <w:r>
        <w:rPr>
          <w:color w:val="000000" w:themeColor="text1"/>
        </w:rPr>
        <w:t xml:space="preserve">-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2 006,0 тыс. рублей аванс по строительству многоквартирного дома в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с.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Алькатваам</w:t>
      </w:r>
      <w:r>
        <w:rPr>
          <w:color w:val="000000" w:themeColor="text1"/>
        </w:rPr>
        <w:t xml:space="preserve">, п</w:t>
      </w:r>
      <w:r>
        <w:rPr>
          <w:color w:val="000000" w:themeColor="text1"/>
        </w:rPr>
        <w:t xml:space="preserve">о данным ЕИС контракт расторгнут 08.10.2024, вопрос возврата средств в бюджет находится на рассмотрении в судебном порядке;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23 431,4 тыс. рублей на приобретение 9 жилых помещений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Янракыннот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данным ЕИС контракт расторгнут 09.12.2025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466 470,0 тыс. рублей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выполнение работ по подготовке проектной документации, строительству и вводу в эксплуатацию объекта «Центр культурного развития в г. Певек»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данным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ЕИС ГК расторгнут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08.12.2025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основании одностороннего отказа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заказчика от исполнения контракта 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соответствии с гражданским законодательством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43 793,7 тыс. рублей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выполнение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работ по подготовке проектной документации и выполнению инженерных изысканий, выполнение работ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строительству и вводу в эксплуатацию объекта: «Дом культуры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с. Канчалан»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о данным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ЕИС ГК расторгнут 17.03.2025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889,3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 рублей на повышение мобильности трудовых ресурсов;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30 612,3 тыс. рублей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создание объектов кемпинг-размещения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финансового обеспечения затрат, связанных с созданием туристской инфраструктуры на территории Чукотского автономного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предоставленной субсидии в 2024 году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ООО «Север 87»;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126 905,8 тыс. рублей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рекультивацию санкционированной свалки ТКО ГО Анадырь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данным ЕИС контракт расторгнут 08.10.2024, ведется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судебный процесс между Администрацией ГО Анадырь и ООО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Экострой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рамках МК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№37 от 17.06.2022;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15 277,6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 рублей на создание благоприятных условий для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осуществления деятельности самозанятыми гражданами, создание условий для легкого старта и комфортного ведения бизнеса, акселерацию субъектов малого и среднего предпринимательства;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- 443 203,9 тыс. рублей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строительство объекта «Школа в г. Анадырь»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данным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ЕИС ГК расторгнут 25.11.2025 на основании одностороннего отказа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заказчика от исполнения контракта в соответствии с гражданским законодательством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386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76 003,3 тыс. рублей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строительство объекта «Спортивный зал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Лаврентия»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pStyle w:val="4386"/>
        <w:contextualSpacing w:val="0"/>
        <w:ind w:left="0" w:firstLine="708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 состоянию 1 января 2026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кредиторская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задолженность составила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103,4 тыс. рублей, числящаяся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национального проекта прошлых лет «Здравоохранение» по РП «Борьба с сердечно-сосудистыми заболеваниями».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По состоянию на 1 января 2026 года по данным из ГИИС 40 отчетов о ходе реализации региональных проектов за 2025 год в рамках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 национальных проектов достигнуты, предусмотренные региональными проектами: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показатели – 90 из 91, из них показатель «Потребление алкогольной продукции на душу населения (в литрах этанола)» в рамках реализации РП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«Здоровье для каждого» не достигнут;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результаты – 88 из 99, из них не достигнуты результаты: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«Обеспечено ведение региональных сегментов Федерального регистра вирусных гепатитов и своевременное внесение данных о пациентах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хроническим вирусным гепатитом С» в рамках реализации РП «Борьба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гепатитом С и минимизация рисков распространения данного заболевания»;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«На территориях субъектов Российской Федерации и г. Байконура завершено строительство, реконструкция (модернизация), капитальный ремонт объектов тепло-водоснабжения и водоотведения, предусмотренных региональными комплексными планами» в рамках реализации РП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«Модернизация коммунальной инфраструктуры»;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«Размещены автоматические пункты весогабаритного контроля транспортных средств на автомобильных дорогах регионального или межмуниципального, местного значения» в рамках реализации РП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«Общественные меры развития дорожного хозяйства»;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«Реализованы мероприятия субъектами Российской Федерации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рамках предоставления единой субсидии из федерального бюджета бюджетам субъектов Российской Федерации» в рамках реализации РП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«Создание номерного фонда, инфраструктуры и новых точек притяжения»;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«Переход органов исполнительной власти на использование отечественного программного обеспечения» в рамках реализации РП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«Отечественные решения»;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«Ликвидированы объекты накопленного вреда окружающей среде»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рамках реализации РП «Генеральная уборка»;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«Субъектами малого и среднего предпринимательства обеспечено привлече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финансирования за счет поручительств (независимых гарантий) фондов содействия кредитованию (гарантийных фондов, фондов поручительств)» и «Субъектам малого и среднего предпринимательства обеспечен льготный доступ к заемным средствам» в рамках реализации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РП «Малое и среднее предпринимательство и поддержка индивидуальной предпринимательской инициативы»;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«Внедрены инструменты по повышению производительности труда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всех государственных и муниципальных организациях социальной сферы» в рамках реализации РП «Производительность труда»;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«Обеспечено адресное строительство детских садов в отдельных населенных пунктах с объективно выявленной потребностью инфраструктуры» в рамках реализации РП «Поддержка семьи»;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«Граждане получили государственную социальную помощь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социального контракта с приоритетным предоставлением многодетным семьям» в рамках реализации РП «Многодетная семья»;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контрольные точки – 582 из 588, из них не достигнуты контрольные точки: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соглашений)», «Предоставлен отчет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выполнении соглашения о предоставлении субсидии юридическому (физическому) лицу», «Заключено соглашение о предоставлении субсидии юриди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ческому (физическому) лицу (соглашение о предоставлении субсидии юридическому (физическому) лицу включено в реестр соглашений)», «Представлен отчет о выполнении соглашения о порядке и условиях предоставления субсидии на выполнение муниципального задания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муниципальных услуг (выполнение работ), «Предоставление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тности о расходах» в рамках реализации РП «Создание номерного фонда, инфраструктуры и новых точек притяжения»;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«Услуга оказана (работы выполнены)» в рамках реализации РП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«Отечественные решения».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редложения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4386"/>
        <w:numPr>
          <w:ilvl w:val="0"/>
          <w:numId w:val="26"/>
        </w:numPr>
        <w:ind w:left="0" w:right="57" w:firstLine="709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направить в Думу, Губернатору Чукотского автономного округа и в Региональный проектный офис.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Председателя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Счетной палаты Чукотского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автономного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Тодавчич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361"/>
        <w:ind w:right="-284"/>
        <w:jc w:val="center"/>
        <w:keepNext w:val="0"/>
        <w:spacing w:before="0" w:beforeAutospacing="0" w:after="0" w:afterAutospacing="0" w:line="240" w:lineRule="auto"/>
        <w:rPr>
          <w:rFonts w:ascii="Times New Roman" w:hAnsi="Times New Roman"/>
          <w:i w:val="0"/>
          <w:iCs w:val="0"/>
          <w:caps/>
          <w:color w:val="auto"/>
          <w:highlight w:val="none"/>
        </w:rPr>
      </w:pPr>
      <w:r>
        <w:rPr>
          <w:rFonts w:ascii="Times New Roman" w:hAnsi="Times New Roman"/>
          <w:bCs w:val="0"/>
          <w:i w:val="0"/>
          <w:iCs w:val="0"/>
          <w:caps/>
          <w:color w:val="auto"/>
        </w:rPr>
        <w:t xml:space="preserve">Заключение</w:t>
      </w:r>
      <w:r>
        <w:rPr>
          <w:rFonts w:ascii="Times New Roman" w:hAnsi="Times New Roman"/>
          <w:i w:val="0"/>
          <w:iCs w:val="0"/>
          <w:caps/>
          <w:color w:val="auto"/>
          <w:highlight w:val="none"/>
        </w:rPr>
      </w:r>
      <w:r>
        <w:rPr>
          <w:rFonts w:ascii="Times New Roman" w:hAnsi="Times New Roman"/>
          <w:i w:val="0"/>
          <w:iCs w:val="0"/>
          <w:caps/>
          <w:color w:val="auto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</w:rPr>
      </w:pPr>
      <w:r/>
      <w:bookmarkStart w:id="0" w:name="undefined"/>
      <w:r>
        <w:rPr>
          <w:rFonts w:ascii="Times New Roman" w:hAnsi="Times New Roman"/>
          <w:b/>
          <w:bCs/>
          <w:sz w:val="28"/>
          <w:szCs w:val="28"/>
        </w:rPr>
        <w:t xml:space="preserve">по результатам экспертно-аналитического мероприятия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b/>
          <w:sz w:val="28"/>
          <w:szCs w:val="28"/>
        </w:rPr>
        <w:t xml:space="preserve">Внешняя проверка годового отчета об исполнении бюджета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Чукотского территориального фонда обязательного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медицинского страхования за 202</w:t>
      </w: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b/>
          <w:sz w:val="28"/>
          <w:szCs w:val="28"/>
        </w:rPr>
        <w:t xml:space="preserve"> год»</w:t>
      </w:r>
      <w:bookmarkEnd w:id="0"/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Утверждено Коллегией Счетной </w:t>
      </w:r>
      <w:r>
        <w:rPr>
          <w:rFonts w:ascii="Times New Roman" w:hAnsi="Times New Roman"/>
          <w:sz w:val="24"/>
          <w:szCs w:val="24"/>
        </w:rPr>
        <w:t xml:space="preserve">палаты Чукотского автономного округа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(протокол от </w:t>
      </w:r>
      <w:r>
        <w:rPr>
          <w:rFonts w:ascii="Times New Roman" w:hAnsi="Times New Roman"/>
          <w:sz w:val="24"/>
          <w:szCs w:val="24"/>
        </w:rPr>
        <w:t xml:space="preserve">5 мая</w:t>
      </w:r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spacing w:before="0"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1. </w:t>
      </w:r>
      <w:r>
        <w:rPr>
          <w:rFonts w:ascii="Times New Roman" w:hAnsi="Times New Roman"/>
          <w:b/>
          <w:sz w:val="28"/>
          <w:szCs w:val="28"/>
        </w:rPr>
        <w:t xml:space="preserve">Общие положения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Заключение по результатам внешней проверки годового </w:t>
      </w:r>
      <w:r>
        <w:rPr>
          <w:rFonts w:ascii="Times New Roman" w:hAnsi="Times New Roman"/>
          <w:sz w:val="28"/>
          <w:szCs w:val="28"/>
        </w:rPr>
        <w:t xml:space="preserve">отчета об  исполнении бюджета </w:t>
      </w:r>
      <w:r>
        <w:rPr>
          <w:rFonts w:ascii="Times New Roman" w:hAnsi="Times New Roman"/>
          <w:iCs/>
          <w:sz w:val="28"/>
          <w:szCs w:val="28"/>
        </w:rPr>
        <w:t xml:space="preserve">Чукотского территориального фонда обязательного медицинского страхования</w:t>
      </w:r>
      <w:r>
        <w:rPr>
          <w:rStyle w:val="4381"/>
          <w:rFonts w:ascii="Times New Roman" w:hAnsi="Times New Roman"/>
          <w:iCs/>
          <w:sz w:val="28"/>
          <w:szCs w:val="28"/>
        </w:rPr>
        <w:footnoteReference w:id="30"/>
      </w:r>
      <w:r>
        <w:rPr>
          <w:rFonts w:ascii="Times New Roman" w:hAnsi="Times New Roman"/>
          <w:iCs/>
          <w:sz w:val="28"/>
          <w:szCs w:val="28"/>
        </w:rPr>
        <w:t xml:space="preserve"> за  202</w:t>
      </w:r>
      <w:r>
        <w:rPr>
          <w:rFonts w:ascii="Times New Roman" w:hAnsi="Times New Roman"/>
          <w:iCs/>
          <w:sz w:val="28"/>
          <w:szCs w:val="28"/>
        </w:rPr>
        <w:t xml:space="preserve">5</w:t>
      </w:r>
      <w:r>
        <w:rPr>
          <w:rFonts w:ascii="Times New Roman" w:hAnsi="Times New Roman"/>
          <w:iCs/>
          <w:sz w:val="28"/>
          <w:szCs w:val="28"/>
        </w:rPr>
        <w:t xml:space="preserve">  год</w:t>
      </w:r>
      <w:r>
        <w:rPr>
          <w:rFonts w:ascii="Times New Roman" w:hAnsi="Times New Roman"/>
          <w:sz w:val="28"/>
          <w:szCs w:val="28"/>
        </w:rPr>
        <w:t xml:space="preserve"> подготовлено </w:t>
      </w:r>
      <w:r>
        <w:rPr>
          <w:rFonts w:ascii="Times New Roman" w:hAnsi="Times New Roman"/>
          <w:sz w:val="28"/>
          <w:szCs w:val="28"/>
        </w:rPr>
        <w:t xml:space="preserve">Счетной палатой Чукотского автономного округа</w:t>
      </w:r>
      <w:r>
        <w:rPr>
          <w:rStyle w:val="4381"/>
          <w:rFonts w:ascii="Times New Roman" w:hAnsi="Times New Roman"/>
          <w:sz w:val="28"/>
          <w:szCs w:val="28"/>
        </w:rPr>
        <w:footnoteReference w:id="31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требованиями статьи 149 Бюджетного кодекса</w:t>
      </w: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sz w:val="28"/>
          <w:szCs w:val="28"/>
        </w:rPr>
        <w:t xml:space="preserve">, статьи 2 Закона о Счетной палате</w:t>
      </w:r>
      <w:r>
        <w:rPr>
          <w:rStyle w:val="4381"/>
          <w:rFonts w:ascii="Times New Roman" w:hAnsi="Times New Roman"/>
          <w:sz w:val="28"/>
          <w:szCs w:val="28"/>
        </w:rPr>
        <w:footnoteReference w:id="32"/>
      </w:r>
      <w:r>
        <w:rPr>
          <w:rFonts w:ascii="Times New Roman" w:hAnsi="Times New Roman"/>
          <w:sz w:val="28"/>
          <w:szCs w:val="28"/>
        </w:rPr>
        <w:t xml:space="preserve">, статьи 8 Закона о  бюджет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ом процессе</w:t>
      </w:r>
      <w:r>
        <w:rPr>
          <w:rStyle w:val="4381"/>
          <w:rFonts w:ascii="Times New Roman" w:hAnsi="Times New Roman"/>
          <w:sz w:val="28"/>
          <w:szCs w:val="28"/>
        </w:rPr>
        <w:footnoteReference w:id="33"/>
      </w:r>
      <w:r>
        <w:rPr>
          <w:rFonts w:ascii="Times New Roman" w:hAnsi="Times New Roman"/>
          <w:sz w:val="28"/>
          <w:szCs w:val="28"/>
        </w:rPr>
        <w:t xml:space="preserve">, с использованием</w:t>
      </w:r>
      <w:r>
        <w:rPr>
          <w:rFonts w:ascii="Times New Roman" w:hAnsi="Times New Roman"/>
          <w:sz w:val="28"/>
          <w:szCs w:val="28"/>
        </w:rPr>
        <w:t xml:space="preserve"> Стандарта внешнего государственного финансового </w:t>
      </w:r>
      <w:r>
        <w:rPr>
          <w:rFonts w:ascii="Times New Roman" w:hAnsi="Times New Roman"/>
          <w:sz w:val="28"/>
          <w:szCs w:val="28"/>
        </w:rPr>
        <w:t xml:space="preserve">контроля </w:t>
      </w:r>
      <w:r>
        <w:rPr>
          <w:rFonts w:ascii="Times New Roman" w:hAnsi="Times New Roman"/>
          <w:sz w:val="28"/>
          <w:szCs w:val="28"/>
        </w:rPr>
        <w:t xml:space="preserve">(СВГФК 105)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«Последующий контроль за исполнением бюджета Чукотского территориального фонда обязательного медицинского страхования»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 основании показателей годовой бюджетной отчетности </w:t>
      </w:r>
      <w:r>
        <w:rPr>
          <w:rFonts w:ascii="Times New Roman" w:hAnsi="Times New Roman"/>
          <w:iCs/>
          <w:sz w:val="28"/>
          <w:szCs w:val="28"/>
        </w:rPr>
        <w:t xml:space="preserve">Чукотского территориального фонда обязательного медицинского страхования</w:t>
      </w:r>
      <w:r>
        <w:rPr>
          <w:rFonts w:ascii="Times New Roman" w:hAnsi="Times New Roman"/>
          <w:sz w:val="28"/>
          <w:szCs w:val="28"/>
        </w:rPr>
        <w:t xml:space="preserve"> за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составу и объему </w:t>
      </w:r>
      <w:r>
        <w:rPr>
          <w:sz w:val="28"/>
          <w:szCs w:val="28"/>
        </w:rPr>
        <w:t xml:space="preserve">б</w:t>
      </w:r>
      <w:r>
        <w:rPr>
          <w:rFonts w:ascii="Times New Roman" w:hAnsi="Times New Roman"/>
          <w:sz w:val="28"/>
          <w:szCs w:val="28"/>
        </w:rPr>
        <w:t xml:space="preserve">юджетная отчетность Фонда соответствует требованиям Инструкции </w:t>
      </w:r>
      <w:r>
        <w:rPr>
          <w:rFonts w:ascii="Times New Roman" w:hAnsi="Times New Roman" w:eastAsia="Times New Roman"/>
          <w:sz w:val="28"/>
          <w:szCs w:val="28"/>
        </w:rPr>
        <w:t xml:space="preserve">о порядке составления и представления годовой, квартальной и месячной отчетности об исполнении бюджетов бюджетной системы Российской Федерации</w:t>
      </w:r>
      <w:r>
        <w:rPr>
          <w:rStyle w:val="4381"/>
          <w:rFonts w:ascii="Times New Roman" w:hAnsi="Times New Roman"/>
          <w:sz w:val="28"/>
          <w:szCs w:val="28"/>
        </w:rPr>
        <w:footnoteReference w:id="34"/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Отчет об исполнении </w:t>
      </w:r>
      <w:r>
        <w:rPr>
          <w:rFonts w:ascii="Times New Roman" w:hAnsi="Times New Roman"/>
          <w:sz w:val="28"/>
          <w:szCs w:val="28"/>
        </w:rPr>
        <w:t xml:space="preserve">бюджета </w:t>
      </w:r>
      <w:r>
        <w:rPr>
          <w:rFonts w:ascii="Times New Roman" w:hAnsi="Times New Roman"/>
          <w:sz w:val="28"/>
          <w:szCs w:val="28"/>
        </w:rPr>
        <w:t xml:space="preserve">Чукотского территориального фонда обязательного медицинского страхования за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 согласован</w:t>
      </w:r>
      <w:r>
        <w:rPr>
          <w:rFonts w:ascii="Times New Roman" w:hAnsi="Times New Roman"/>
          <w:sz w:val="28"/>
          <w:szCs w:val="28"/>
        </w:rPr>
        <w:t xml:space="preserve"> Решением Правления Фонда от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марта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01/2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Отчет об исполнении бюджета Фонда за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 представлен Правительством Чукотского автономного округа в Счетную палату в установленные сроки. 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Одновременно с годовым отчетом</w:t>
      </w:r>
      <w:r>
        <w:rPr>
          <w:rFonts w:ascii="Times New Roman" w:hAnsi="Times New Roman"/>
          <w:sz w:val="28"/>
          <w:szCs w:val="28"/>
        </w:rPr>
        <w:t xml:space="preserve"> об исполнении бюджета Фонда</w:t>
      </w:r>
      <w:r>
        <w:rPr>
          <w:rFonts w:ascii="Times New Roman" w:hAnsi="Times New Roman"/>
          <w:sz w:val="28"/>
          <w:szCs w:val="28"/>
        </w:rPr>
        <w:t xml:space="preserve"> представлены: 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тчет о выполнении Территор</w:t>
      </w:r>
      <w:r>
        <w:rPr>
          <w:rFonts w:ascii="Times New Roman" w:hAnsi="Times New Roman"/>
          <w:sz w:val="28"/>
          <w:szCs w:val="28"/>
        </w:rPr>
        <w:t xml:space="preserve">иальной программы обязательного медицинского страхования на территории Чукотского автономного округа</w:t>
      </w:r>
      <w:r>
        <w:rPr>
          <w:rStyle w:val="4381"/>
          <w:rFonts w:ascii="Times New Roman" w:hAnsi="Times New Roman"/>
          <w:sz w:val="28"/>
          <w:szCs w:val="28"/>
        </w:rPr>
        <w:footnoteReference w:id="35"/>
      </w:r>
      <w:r>
        <w:rPr>
          <w:rFonts w:ascii="Times New Roman" w:hAnsi="Times New Roman"/>
          <w:sz w:val="28"/>
          <w:szCs w:val="28"/>
        </w:rPr>
        <w:t xml:space="preserve"> 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году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а также ины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 и материал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, представляемы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одновременно с ним.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средствами обязательного медицинского страхования на территории Чукотского автономного округа, предназначенными для обеспечения гарантий бесплатного оказания застрахованным лицам медицинской помощи в рамках </w:t>
      </w:r>
      <w:r>
        <w:rPr>
          <w:rFonts w:ascii="Times New Roman" w:hAnsi="Times New Roman"/>
          <w:sz w:val="28"/>
          <w:szCs w:val="28"/>
        </w:rPr>
        <w:t xml:space="preserve">обязательного медицинского страхования</w:t>
      </w:r>
      <w:r>
        <w:rPr>
          <w:rStyle w:val="4381"/>
          <w:rFonts w:ascii="Times New Roman" w:hAnsi="Times New Roman"/>
          <w:sz w:val="28"/>
          <w:szCs w:val="28"/>
        </w:rPr>
        <w:footnoteReference w:id="36"/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в целях обеспечения финансовой устойчивости </w:t>
      </w:r>
      <w:r>
        <w:rPr>
          <w:rFonts w:ascii="Times New Roman" w:hAnsi="Times New Roman"/>
          <w:sz w:val="28"/>
          <w:szCs w:val="28"/>
        </w:rPr>
        <w:t xml:space="preserve">ОМС</w:t>
      </w:r>
      <w:r>
        <w:rPr>
          <w:rFonts w:ascii="Times New Roman" w:hAnsi="Times New Roman"/>
          <w:sz w:val="28"/>
          <w:szCs w:val="28"/>
        </w:rPr>
        <w:t xml:space="preserve"> в регионе, осуществляет Чукотский территориальный фонд обязательного медицинского страхования</w:t>
      </w:r>
      <w:r>
        <w:rPr>
          <w:rStyle w:val="4381"/>
          <w:rFonts w:ascii="Times New Roman" w:hAnsi="Times New Roman"/>
          <w:sz w:val="28"/>
          <w:szCs w:val="28"/>
        </w:rPr>
        <w:footnoteReference w:id="37"/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Фонд осуществляет свою деятельность в соответствии с федеральным законодательством, законодательством Чукотского автономного округа, нормативными правовыми актами Минздрава России, Федерального фонда обязательного медицинского страхования</w:t>
      </w:r>
      <w:r>
        <w:rPr>
          <w:rStyle w:val="4381"/>
          <w:rFonts w:ascii="Times New Roman" w:hAnsi="Times New Roman"/>
          <w:sz w:val="28"/>
          <w:szCs w:val="28"/>
        </w:rPr>
        <w:footnoteReference w:id="38"/>
      </w:r>
      <w:r>
        <w:rPr>
          <w:rFonts w:ascii="Times New Roman" w:hAnsi="Times New Roman"/>
          <w:sz w:val="28"/>
          <w:szCs w:val="28"/>
        </w:rPr>
        <w:t xml:space="preserve">  и Положением о Фонде</w:t>
      </w:r>
      <w:r>
        <w:rPr>
          <w:rStyle w:val="4381"/>
          <w:rFonts w:ascii="Times New Roman" w:hAnsi="Times New Roman"/>
          <w:sz w:val="28"/>
          <w:szCs w:val="28"/>
        </w:rPr>
        <w:footnoteReference w:id="39"/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Общее руководство текущей деятельностью Фонда</w:t>
      </w:r>
      <w:r>
        <w:rPr>
          <w:rFonts w:ascii="Times New Roman" w:hAnsi="Times New Roman"/>
          <w:sz w:val="28"/>
          <w:szCs w:val="28"/>
        </w:rPr>
        <w:t xml:space="preserve"> осуществляется директором Фонда. Коллеги</w:t>
      </w:r>
      <w:r>
        <w:rPr>
          <w:rFonts w:ascii="Times New Roman" w:hAnsi="Times New Roman"/>
          <w:sz w:val="28"/>
          <w:szCs w:val="28"/>
        </w:rPr>
        <w:t xml:space="preserve">альным органом, определяющим основные направления деятельности Фонда и осуществляющим текущий контроль за его деятельностью, а также иные полномочия в соответствии с федеральными законами и законами Чукотского автономного округа, является Правление Фонда.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326-ФЗ</w:t>
      </w:r>
      <w:r>
        <w:rPr>
          <w:rStyle w:val="4381"/>
          <w:rFonts w:ascii="Times New Roman" w:hAnsi="Times New Roman"/>
          <w:sz w:val="28"/>
          <w:szCs w:val="28"/>
        </w:rPr>
        <w:footnoteReference w:id="40"/>
      </w:r>
      <w:r>
        <w:rPr>
          <w:rFonts w:ascii="Times New Roman" w:hAnsi="Times New Roman"/>
          <w:sz w:val="28"/>
          <w:szCs w:val="28"/>
        </w:rPr>
        <w:t xml:space="preserve"> Фонд является</w:t>
      </w:r>
      <w:r>
        <w:rPr>
          <w:rFonts w:ascii="Times New Roman" w:hAnsi="Times New Roman"/>
          <w:sz w:val="28"/>
          <w:szCs w:val="28"/>
        </w:rPr>
        <w:t xml:space="preserve"> участником ОМС в рамках реализации Территориальной программы государственных гарантий бесплатного оказания гражданам медицинской помощи </w:t>
      </w:r>
      <w:r>
        <w:rPr>
          <w:rFonts w:ascii="Times New Roman" w:hAnsi="Times New Roman" w:eastAsiaTheme="minorHAnsi"/>
          <w:sz w:val="28"/>
          <w:szCs w:val="28"/>
        </w:rPr>
        <w:t xml:space="preserve">на 202</w:t>
      </w:r>
      <w:r>
        <w:rPr>
          <w:rFonts w:ascii="Times New Roman" w:hAnsi="Times New Roman" w:eastAsiaTheme="minorHAnsi"/>
          <w:sz w:val="28"/>
          <w:szCs w:val="28"/>
        </w:rPr>
        <w:t xml:space="preserve">5</w:t>
      </w:r>
      <w:r>
        <w:rPr>
          <w:rFonts w:ascii="Times New Roman" w:hAnsi="Times New Roman" w:eastAsiaTheme="minorHAnsi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eastAsiaTheme="minorHAnsi"/>
          <w:sz w:val="28"/>
          <w:szCs w:val="28"/>
        </w:rPr>
        <w:t xml:space="preserve">6</w:t>
      </w:r>
      <w:r>
        <w:rPr>
          <w:rFonts w:ascii="Times New Roman" w:hAnsi="Times New Roman" w:eastAsiaTheme="minorHAnsi"/>
          <w:sz w:val="28"/>
          <w:szCs w:val="28"/>
        </w:rPr>
        <w:t xml:space="preserve"> и 202</w:t>
      </w:r>
      <w:r>
        <w:rPr>
          <w:rFonts w:ascii="Times New Roman" w:hAnsi="Times New Roman" w:eastAsiaTheme="minorHAnsi"/>
          <w:sz w:val="28"/>
          <w:szCs w:val="28"/>
        </w:rPr>
        <w:t xml:space="preserve">7</w:t>
      </w:r>
      <w:r>
        <w:rPr>
          <w:rFonts w:ascii="Times New Roman" w:hAnsi="Times New Roman" w:eastAsiaTheme="minorHAnsi"/>
          <w:sz w:val="28"/>
          <w:szCs w:val="28"/>
        </w:rPr>
        <w:t xml:space="preserve"> годов</w:t>
      </w:r>
      <w:r>
        <w:rPr>
          <w:rFonts w:ascii="Times New Roman" w:hAnsi="Times New Roman" w:eastAsiaTheme="minorHAnsi"/>
          <w:sz w:val="18"/>
          <w:szCs w:val="1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Чукотском автономном округе</w:t>
      </w:r>
      <w:r>
        <w:rPr>
          <w:rStyle w:val="4381"/>
          <w:rFonts w:ascii="Times New Roman" w:hAnsi="Times New Roman"/>
          <w:sz w:val="28"/>
          <w:szCs w:val="28"/>
        </w:rPr>
        <w:footnoteReference w:id="41"/>
      </w:r>
      <w:r>
        <w:rPr>
          <w:rFonts w:ascii="Times New Roman" w:hAnsi="Times New Roman"/>
          <w:sz w:val="28"/>
          <w:szCs w:val="28"/>
        </w:rPr>
        <w:t xml:space="preserve"> в части Территориальной программы ОМС. Средства бюджета Фонда на реализацию Территориальной программы ОМС являются основным источником финансирования ТПГГ.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Территориальная программа ОМС реализуется в рамках </w:t>
      </w:r>
      <w:r>
        <w:rPr>
          <w:rFonts w:ascii="Times New Roman" w:hAnsi="Times New Roman"/>
          <w:sz w:val="28"/>
          <w:szCs w:val="28"/>
        </w:rPr>
        <w:t xml:space="preserve">комплекса процессных мероприятий «Финансовое обеспечение оказания гарантированной медицинской помощи населению Чукотского автономного округа»</w:t>
      </w:r>
      <w:r>
        <w:rPr>
          <w:rFonts w:ascii="Times New Roman" w:hAnsi="Times New Roman"/>
          <w:sz w:val="28"/>
          <w:szCs w:val="28"/>
        </w:rPr>
        <w:t xml:space="preserve"> Государственной программы «Развитие здравоохранения Чукотского автономного округа»</w:t>
      </w:r>
      <w:r>
        <w:footnoteReference w:id="42"/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на территории Чукотского автономного округа </w:t>
      </w:r>
      <w:r>
        <w:rPr>
          <w:rFonts w:ascii="Times New Roman" w:hAnsi="Times New Roman"/>
          <w:sz w:val="28"/>
          <w:szCs w:val="28"/>
        </w:rPr>
        <w:t xml:space="preserve">в системе ОМС осуществляли деятельность две медицинские организации: ГБУЗ «Чукотская окружная больница»; ФГБУЗ «Медико-санитарная часть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Ф</w:t>
      </w:r>
      <w:r>
        <w:rPr>
          <w:rFonts w:ascii="Times New Roman" w:hAnsi="Times New Roman"/>
          <w:sz w:val="28"/>
          <w:szCs w:val="28"/>
        </w:rPr>
        <w:t xml:space="preserve">едерального медико-биологического агентства</w:t>
      </w:r>
      <w:r>
        <w:rPr>
          <w:rFonts w:ascii="Times New Roman" w:hAnsi="Times New Roman"/>
          <w:sz w:val="28"/>
          <w:szCs w:val="28"/>
        </w:rPr>
        <w:t xml:space="preserve">». Функции страховщика</w:t>
      </w:r>
      <w:r>
        <w:rPr>
          <w:rFonts w:ascii="Times New Roman" w:hAnsi="Times New Roman"/>
          <w:sz w:val="28"/>
          <w:szCs w:val="28"/>
        </w:rPr>
        <w:t xml:space="preserve"> осуществлял Чукотский филиал АО «Страховая компания «СОГАЗ-Мед» </w:t>
      </w:r>
      <w:r>
        <w:rPr>
          <w:rFonts w:ascii="Times New Roman" w:hAnsi="Times New Roman"/>
          <w:sz w:val="28"/>
          <w:szCs w:val="28"/>
        </w:rPr>
        <w:t xml:space="preserve">(СМО) </w:t>
      </w:r>
      <w:r>
        <w:rPr>
          <w:rFonts w:ascii="Times New Roman" w:hAnsi="Times New Roman"/>
          <w:sz w:val="28"/>
          <w:szCs w:val="28"/>
        </w:rPr>
        <w:t xml:space="preserve">на основании договора о финансовом обеспечении ОМС, заключенного с Фондом.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аспределение объемов предоставления медицинской помощи на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 между медицинскими организациями, действующими в системе ОМС Чукотского автономного округа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в окончательном варианте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решением Комиссии по разработке территориальной программы ОМС Чукотского автономного округа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15 декабря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15-2025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и оплата медицинской помощи осуществлялись на основании </w:t>
      </w:r>
      <w:r>
        <w:rPr>
          <w:rFonts w:ascii="Times New Roman" w:hAnsi="Times New Roman"/>
          <w:sz w:val="28"/>
          <w:szCs w:val="28"/>
        </w:rPr>
        <w:t xml:space="preserve">договоров, заключенных между Фондом, СМО и указанными медицинскими организациями в соответствии со статьей 39 Федерального закона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326-ФЗ.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645" w:leader="none"/>
          <w:tab w:val="center" w:pos="485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Приказом Департамента финансов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имущественных отношений Чукотского автономного округа от 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декабря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61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Фонд является главным администратором доходов бюджета Фонда (код главного администратора – 395)</w:t>
      </w:r>
      <w:r>
        <w:rPr>
          <w:rStyle w:val="4381"/>
          <w:rFonts w:ascii="Times New Roman" w:hAnsi="Times New Roman"/>
          <w:sz w:val="28"/>
          <w:szCs w:val="28"/>
        </w:rPr>
        <w:footnoteReference w:id="43"/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Style w:val="4578"/>
          <w:b/>
          <w:sz w:val="28"/>
          <w:szCs w:val="28"/>
        </w:rPr>
        <w:t xml:space="preserve">Основные характеристики исполнения бюджета Фонда за 202</w:t>
      </w:r>
      <w:r>
        <w:rPr>
          <w:rStyle w:val="4578"/>
          <w:b/>
          <w:sz w:val="28"/>
          <w:szCs w:val="28"/>
        </w:rPr>
        <w:t xml:space="preserve">5</w:t>
      </w:r>
      <w:r>
        <w:rPr>
          <w:rStyle w:val="4578"/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4579"/>
        <w:ind w:firstLine="13"/>
        <w:spacing w:before="0" w:beforeAutospacing="0" w:after="0" w:afterAutospacing="0" w:line="240" w:lineRule="auto"/>
        <w:widowControl/>
        <w:tabs>
          <w:tab w:val="left" w:pos="878" w:leader="none"/>
        </w:tabs>
        <w:rPr>
          <w:color w:val="ff0000"/>
          <w:sz w:val="16"/>
          <w:szCs w:val="16"/>
        </w:rPr>
      </w:pPr>
      <w:r/>
      <w:bookmarkStart w:id="0" w:name="undefined"/>
      <w:r>
        <w:rPr>
          <w:b/>
          <w:color w:val="ff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Законом Чукотского автономного округа от </w:t>
      </w:r>
      <w:r>
        <w:rPr>
          <w:rFonts w:ascii="Times New Roman" w:hAnsi="Times New Roman"/>
          <w:sz w:val="28"/>
          <w:szCs w:val="28"/>
        </w:rPr>
        <w:t xml:space="preserve">9 декабря 2024</w:t>
      </w:r>
      <w:r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 xml:space="preserve"> 82</w:t>
      </w:r>
      <w:r>
        <w:rPr>
          <w:rFonts w:ascii="Times New Roman" w:hAnsi="Times New Roman"/>
          <w:sz w:val="28"/>
          <w:szCs w:val="28"/>
        </w:rPr>
        <w:t xml:space="preserve">-ОЗ «О бюджете Чукотского территориального фонда обязательного </w:t>
      </w:r>
      <w:r>
        <w:rPr>
          <w:rFonts w:ascii="Times New Roman" w:hAnsi="Times New Roman"/>
          <w:sz w:val="28"/>
          <w:szCs w:val="28"/>
        </w:rPr>
        <w:t xml:space="preserve">медицинского страхования на 2025 год и на плановый период 2026 и 2027</w:t>
      </w:r>
      <w:r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  <w:vertAlign w:val="superscript"/>
        </w:rPr>
        <w:footnoteReference w:id="44"/>
      </w:r>
      <w:r>
        <w:rPr>
          <w:rFonts w:ascii="Times New Roman" w:hAnsi="Times New Roman"/>
          <w:sz w:val="28"/>
          <w:szCs w:val="28"/>
        </w:rPr>
        <w:t xml:space="preserve"> бюджетные назначения по доходам и расходам первоначально утверждены в </w:t>
      </w:r>
      <w:r>
        <w:rPr>
          <w:rFonts w:ascii="Times New Roman" w:hAnsi="Times New Roman"/>
          <w:sz w:val="28"/>
          <w:szCs w:val="28"/>
        </w:rPr>
        <w:t xml:space="preserve">объеме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620 874,9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рублей. </w:t>
      </w:r>
      <w:r>
        <w:rPr>
          <w:rFonts w:ascii="Times New Roman" w:hAnsi="Times New Roman"/>
          <w:sz w:val="28"/>
          <w:szCs w:val="28"/>
        </w:rPr>
        <w:t xml:space="preserve">Бюджет Фонда сформирован с соблюдением принципа сбалансированности, что соответствует требованиям статьи 33 Бюджетного кодекса. </w:t>
      </w:r>
      <w:r>
        <w:rPr>
          <w:color w:val="ff0000"/>
          <w:sz w:val="16"/>
          <w:szCs w:val="16"/>
        </w:rPr>
      </w:r>
      <w:r>
        <w:rPr>
          <w:color w:val="ff0000"/>
          <w:sz w:val="16"/>
          <w:szCs w:val="16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отчетном периоде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изменения </w:t>
      </w:r>
      <w:r>
        <w:rPr>
          <w:rFonts w:ascii="Times New Roman" w:hAnsi="Times New Roman"/>
          <w:sz w:val="28"/>
          <w:szCs w:val="28"/>
        </w:rPr>
        <w:t xml:space="preserve">в Закон о бюджете Фонда вносились </w:t>
      </w:r>
      <w:r>
        <w:rPr>
          <w:rFonts w:ascii="Times New Roman" w:hAnsi="Times New Roman"/>
          <w:sz w:val="28"/>
          <w:szCs w:val="28"/>
        </w:rPr>
        <w:t xml:space="preserve">один</w:t>
      </w:r>
      <w:r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результате внесенных изменений </w:t>
      </w:r>
      <w:r>
        <w:rPr>
          <w:rFonts w:ascii="Times New Roman" w:hAnsi="Times New Roman"/>
          <w:sz w:val="28"/>
          <w:szCs w:val="28"/>
        </w:rPr>
        <w:t xml:space="preserve">объем прогнозируемых </w:t>
      </w:r>
      <w:r>
        <w:rPr>
          <w:rFonts w:ascii="Times New Roman" w:hAnsi="Times New Roman"/>
          <w:sz w:val="28"/>
          <w:szCs w:val="28"/>
        </w:rPr>
        <w:t xml:space="preserve">доход</w:t>
      </w:r>
      <w:r>
        <w:rPr>
          <w:rFonts w:ascii="Times New Roman" w:hAnsi="Times New Roman"/>
          <w:sz w:val="28"/>
          <w:szCs w:val="28"/>
        </w:rPr>
        <w:t xml:space="preserve">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увеличен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55 745,0</w:t>
      </w:r>
      <w:r>
        <w:rPr>
          <w:rFonts w:ascii="Times New Roman" w:hAnsi="Times New Roman"/>
          <w:sz w:val="28"/>
          <w:szCs w:val="28"/>
        </w:rPr>
        <w:t xml:space="preserve"> тыс. рублей и составил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4 676 619,</w:t>
      </w:r>
      <w:r>
        <w:rPr>
          <w:rFonts w:ascii="Times New Roman" w:hAnsi="Times New Roman"/>
          <w:sz w:val="28"/>
          <w:szCs w:val="28"/>
        </w:rPr>
        <w:t xml:space="preserve">9</w:t>
      </w:r>
      <w:r>
        <w:rPr>
          <w:sz w:val="23"/>
          <w:szCs w:val="23"/>
          <w:shd w:val="clear" w:color="auto" w:fill="ffffff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  <w:t xml:space="preserve"> расходы увеличены 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78 661,2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 и составили</w:t>
      </w:r>
      <w:r>
        <w:rPr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4 699 536,1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учетом внесенных изменений исполнение бюджета Фонда планировалось с дефицитом в объеме </w:t>
      </w:r>
      <w:r>
        <w:rPr>
          <w:rFonts w:ascii="Times New Roman" w:hAnsi="Times New Roman"/>
          <w:sz w:val="28"/>
          <w:szCs w:val="28"/>
        </w:rPr>
        <w:t xml:space="preserve">22 916,2 </w:t>
      </w:r>
      <w:r>
        <w:rPr>
          <w:rFonts w:ascii="Times New Roman" w:hAnsi="Times New Roman"/>
          <w:sz w:val="28"/>
          <w:szCs w:val="28"/>
        </w:rPr>
        <w:t xml:space="preserve">тыс. 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Сводной росписью расходов</w:t>
      </w:r>
      <w:r>
        <w:rPr>
          <w:rFonts w:ascii="Times New Roman" w:hAnsi="Times New Roman"/>
          <w:sz w:val="28"/>
          <w:szCs w:val="28"/>
        </w:rPr>
        <w:t xml:space="preserve"> бюджета Фонда</w:t>
      </w:r>
      <w:r>
        <w:rPr>
          <w:rFonts w:ascii="Times New Roman" w:hAnsi="Times New Roman"/>
          <w:sz w:val="28"/>
          <w:szCs w:val="28"/>
        </w:rPr>
        <w:t xml:space="preserve"> (СБР) по состоянию на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30</w:t>
      </w:r>
      <w:r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расходы бюджета Фонда увеличены 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4 237,0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 и </w:t>
      </w:r>
      <w:r>
        <w:rPr>
          <w:rFonts w:ascii="Times New Roman" w:hAnsi="Times New Roman"/>
          <w:sz w:val="28"/>
          <w:szCs w:val="28"/>
        </w:rPr>
        <w:t xml:space="preserve">составили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4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703 773,1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 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о</w:t>
      </w:r>
      <w:r>
        <w:rPr>
          <w:rFonts w:ascii="Times New Roman" w:hAnsi="Times New Roman"/>
          <w:sz w:val="28"/>
          <w:szCs w:val="28"/>
        </w:rPr>
        <w:t xml:space="preserve">б изменениях,</w:t>
      </w:r>
      <w:r>
        <w:rPr>
          <w:rFonts w:ascii="Times New Roman" w:hAnsi="Times New Roman"/>
          <w:sz w:val="28"/>
          <w:szCs w:val="28"/>
        </w:rPr>
        <w:t xml:space="preserve"> внесен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ых</w:t>
      </w:r>
      <w:r>
        <w:rPr>
          <w:rFonts w:ascii="Times New Roman" w:hAnsi="Times New Roman"/>
          <w:sz w:val="28"/>
          <w:szCs w:val="28"/>
        </w:rPr>
        <w:t xml:space="preserve"> в Закон о бюджете Фонда на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показатели</w:t>
      </w:r>
      <w:r>
        <w:rPr>
          <w:rFonts w:ascii="Times New Roman" w:hAnsi="Times New Roman"/>
          <w:sz w:val="28"/>
          <w:szCs w:val="28"/>
        </w:rPr>
        <w:t xml:space="preserve"> СБР,</w:t>
      </w:r>
      <w:r>
        <w:rPr>
          <w:rFonts w:ascii="Times New Roman" w:hAnsi="Times New Roman"/>
          <w:sz w:val="28"/>
          <w:szCs w:val="28"/>
        </w:rPr>
        <w:t xml:space="preserve"> приведены в таблице № 1.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Таблица № 1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2943"/>
        <w:gridCol w:w="1649"/>
        <w:gridCol w:w="1470"/>
        <w:gridCol w:w="1843"/>
        <w:gridCol w:w="1166"/>
        <w:gridCol w:w="850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Наименование показателя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Утверждено Законом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о бюджете Фонда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, тыс. рублей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ind w:left="-85" w:right="-11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Утв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ерждено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сводной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росписью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расходов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left="-85" w:right="-11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на 30.12.2025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left="-85" w:right="-110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тыс. рублей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01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Изменения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textDirection w:val="lrTb"/>
            <w:noWrap w:val="false"/>
          </w:tcPr>
          <w:p>
            <w:pPr>
              <w:ind w:left="-108" w:right="-19" w:firstLine="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.12.202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left="-108" w:right="-19" w:firstLine="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№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82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-ОЗ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ind w:left="-108" w:right="-19" w:firstLine="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08.12.2025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left="-108" w:right="-19" w:firstLine="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№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99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-ОЗ</w:t>
            </w: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ind w:right="-108" w:hanging="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умма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right="-108" w:hanging="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тыс. рублей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right="-108" w:hanging="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196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всего, 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том числе: 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4 620 874,9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4 676 619,9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55 745,0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1,2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Налоговые и неналоговые доходы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18 212,8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0" w:type="dxa"/>
            <w:vAlign w:val="bottom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23 608,9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5 396,1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29,6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Безвозмездные поступления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4 602 662,1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0" w:type="dxa"/>
            <w:vAlign w:val="bottom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4 653 011,0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50 348,9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Расходы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 – всего</w:t>
            </w:r>
            <w:r>
              <w:rPr>
                <w:rFonts w:ascii="Times New Roman" w:hAnsi="Times New Roman" w:eastAsia="Times New Roman"/>
                <w:bCs/>
                <w:sz w:val="18"/>
                <w:szCs w:val="18"/>
                <w:lang w:eastAsia="ru-RU"/>
              </w:rPr>
              <w:t xml:space="preserve">, в том числе: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4 620 874,9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4 699 536,1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4 703 773,1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82 898,2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1,8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bottom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Общегосударственные вопросы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72 357,6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72 357,6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72 357,6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Здравоохранение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4 548 517,3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4 627 178,50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4 631 415,5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82 898,2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3" w:type="dxa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Профицит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 /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Дефицит 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22 916,2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X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X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X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r>
          </w:p>
        </w:tc>
      </w:tr>
    </w:tbl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color w:val="ff0000"/>
          <w:sz w:val="16"/>
          <w:szCs w:val="16"/>
        </w:rPr>
      </w:r>
      <w:r>
        <w:rPr>
          <w:rFonts w:ascii="Times New Roman" w:hAnsi="Times New Roman"/>
          <w:color w:val="ff0000"/>
          <w:sz w:val="16"/>
          <w:szCs w:val="16"/>
        </w:rPr>
      </w:r>
      <w:r>
        <w:rPr>
          <w:rFonts w:ascii="Times New Roman" w:hAnsi="Times New Roman"/>
          <w:color w:val="ff0000"/>
          <w:sz w:val="16"/>
          <w:szCs w:val="16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Корректировка доходной части бюджета Фонда обусловлена: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/>
      <w:bookmarkStart w:id="0" w:name="undefined"/>
      <w:r>
        <w:rPr>
          <w:rFonts w:ascii="Times New Roman" w:hAnsi="Times New Roman"/>
          <w:sz w:val="28"/>
          <w:szCs w:val="28"/>
        </w:rPr>
        <w:t xml:space="preserve">уменьшением </w:t>
      </w:r>
      <w:r>
        <w:rPr>
          <w:rFonts w:ascii="Times New Roman" w:hAnsi="Times New Roman"/>
          <w:sz w:val="28"/>
          <w:szCs w:val="28"/>
        </w:rPr>
        <w:t xml:space="preserve">доходов на общую сумму 22 098,0 тыс. рублей, в том числе за счет: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безвозмездных поступлений от других бюджетов бюджетной системы Российской Федерации на сумму </w:t>
      </w:r>
      <w:r>
        <w:rPr>
          <w:rFonts w:ascii="Times New Roman" w:hAnsi="Times New Roman"/>
          <w:sz w:val="28"/>
          <w:szCs w:val="28"/>
        </w:rPr>
        <w:t xml:space="preserve">15 797,1</w:t>
      </w:r>
      <w:r>
        <w:rPr>
          <w:rFonts w:ascii="Times New Roman" w:hAnsi="Times New Roman"/>
          <w:sz w:val="28"/>
          <w:szCs w:val="28"/>
        </w:rPr>
        <w:t xml:space="preserve"> тыс. рублей;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возврата остатков субсидий, субвенций и иных межбюджетных трансфертов, имеющих целевое назначение прошлых лет</w:t>
      </w:r>
      <w:r>
        <w:rPr>
          <w:rFonts w:ascii="Times New Roman" w:hAnsi="Times New Roman"/>
          <w:sz w:val="28"/>
          <w:szCs w:val="28"/>
        </w:rPr>
        <w:t xml:space="preserve"> на сумму 6 300,9 тыс. рублей</w:t>
      </w:r>
      <w:r>
        <w:rPr>
          <w:rFonts w:ascii="Times New Roman" w:hAnsi="Times New Roman"/>
          <w:sz w:val="28"/>
          <w:szCs w:val="28"/>
        </w:rPr>
        <w:t xml:space="preserve">;</w:t>
      </w:r>
      <w:bookmarkEnd w:id="0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величением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доходов </w:t>
      </w:r>
      <w:r>
        <w:rPr>
          <w:rFonts w:ascii="Times New Roman" w:hAnsi="Times New Roman"/>
          <w:sz w:val="28"/>
          <w:szCs w:val="28"/>
        </w:rPr>
        <w:t xml:space="preserve">на общую сумму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77 843,0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рублей, в том числе</w:t>
      </w:r>
      <w:r>
        <w:rPr>
          <w:rFonts w:ascii="Times New Roman" w:hAnsi="Times New Roman"/>
          <w:sz w:val="28"/>
          <w:szCs w:val="28"/>
        </w:rPr>
        <w:t xml:space="preserve"> за счет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безвозмездных поступлений от других бюджетов бюджетной системы Российской Федерации на сумму 72 011,0 тыс. рублей;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налоговых и неналоговых доходов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сумму </w:t>
      </w:r>
      <w:r>
        <w:rPr>
          <w:rFonts w:ascii="Times New Roman" w:hAnsi="Times New Roman"/>
          <w:sz w:val="28"/>
          <w:szCs w:val="28"/>
        </w:rPr>
        <w:t xml:space="preserve">5 396,1</w:t>
      </w:r>
      <w:r>
        <w:rPr>
          <w:rFonts w:ascii="Times New Roman" w:hAnsi="Times New Roman"/>
          <w:sz w:val="28"/>
          <w:szCs w:val="28"/>
        </w:rPr>
        <w:t xml:space="preserve"> тыс. </w:t>
      </w:r>
      <w:r>
        <w:rPr>
          <w:rFonts w:ascii="Times New Roman" w:hAnsi="Times New Roman"/>
          <w:sz w:val="28"/>
          <w:szCs w:val="28"/>
        </w:rPr>
        <w:t xml:space="preserve">рублей;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доходов от возврата остатков субсидий, субвенций и иных межбюджетных трансфертов, имеющих целевое назначение, прошлых лет на сумму </w:t>
      </w:r>
      <w:r>
        <w:rPr>
          <w:rFonts w:ascii="Times New Roman" w:hAnsi="Times New Roman"/>
          <w:sz w:val="28"/>
          <w:szCs w:val="28"/>
        </w:rPr>
        <w:t xml:space="preserve">435,9</w:t>
      </w:r>
      <w:r>
        <w:rPr>
          <w:rFonts w:ascii="Times New Roman" w:hAnsi="Times New Roman"/>
          <w:sz w:val="28"/>
          <w:szCs w:val="28"/>
        </w:rPr>
        <w:t xml:space="preserve"> тыс. 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Увеличение расходной части бюджета Фонда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82 898,2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тыс. рублей обусловлено</w:t>
      </w:r>
      <w:r>
        <w:rPr>
          <w:rFonts w:ascii="Times New Roman" w:hAnsi="Times New Roman"/>
          <w:sz w:val="28"/>
          <w:szCs w:val="28"/>
        </w:rPr>
        <w:t xml:space="preserve"> поступлением дополнительн</w:t>
      </w:r>
      <w:r>
        <w:rPr>
          <w:rFonts w:ascii="Times New Roman" w:hAnsi="Times New Roman"/>
          <w:sz w:val="28"/>
          <w:szCs w:val="28"/>
        </w:rPr>
        <w:t xml:space="preserve">ого объема</w:t>
      </w:r>
      <w:r>
        <w:rPr>
          <w:rFonts w:ascii="Times New Roman" w:hAnsi="Times New Roman"/>
          <w:sz w:val="28"/>
          <w:szCs w:val="28"/>
        </w:rPr>
        <w:t xml:space="preserve"> межбюджетных трансфертов на соответствующие направления расходов.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исполнения бюджета</w:t>
      </w:r>
      <w:r>
        <w:rPr>
          <w:rFonts w:ascii="Times New Roman" w:hAnsi="Times New Roman"/>
          <w:sz w:val="28"/>
          <w:szCs w:val="28"/>
        </w:rPr>
        <w:t xml:space="preserve"> Фонда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нормирован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ый страховой запас (НСЗ)</w:t>
      </w:r>
      <w:r>
        <w:rPr>
          <w:rFonts w:ascii="Times New Roman" w:hAnsi="Times New Roman"/>
          <w:sz w:val="28"/>
          <w:szCs w:val="28"/>
        </w:rPr>
        <w:t xml:space="preserve"> для обеспечения финансовой устойчивости системы ОМС на территории Чукотского автономного округа, </w:t>
      </w:r>
      <w:r>
        <w:rPr>
          <w:rFonts w:ascii="Times New Roman" w:hAnsi="Times New Roman"/>
          <w:sz w:val="28"/>
          <w:szCs w:val="28"/>
        </w:rPr>
        <w:t xml:space="preserve">первоначально </w:t>
      </w:r>
      <w:r>
        <w:rPr>
          <w:rFonts w:ascii="Times New Roman" w:hAnsi="Times New Roman"/>
          <w:sz w:val="28"/>
          <w:szCs w:val="28"/>
        </w:rPr>
        <w:t xml:space="preserve">утвержденный</w:t>
      </w:r>
      <w:r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 в размере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213 912,8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тыс. рублей,</w:t>
      </w:r>
      <w:r>
        <w:rPr>
          <w:rFonts w:ascii="Times New Roman" w:hAnsi="Times New Roman"/>
          <w:sz w:val="28"/>
          <w:szCs w:val="28"/>
        </w:rPr>
        <w:t xml:space="preserve"> увеличился на </w:t>
      </w:r>
      <w:r>
        <w:rPr>
          <w:rFonts w:ascii="Times New Roman" w:hAnsi="Times New Roman"/>
          <w:sz w:val="28"/>
          <w:szCs w:val="28"/>
        </w:rPr>
        <w:t xml:space="preserve">48 283,6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 рублей </w:t>
      </w:r>
      <w:r>
        <w:rPr>
          <w:rFonts w:ascii="Times New Roman" w:hAnsi="Times New Roman"/>
          <w:sz w:val="28"/>
          <w:szCs w:val="28"/>
        </w:rPr>
        <w:t xml:space="preserve">в связи с </w:t>
      </w:r>
      <w:r>
        <w:rPr>
          <w:rFonts w:ascii="Times New Roman" w:hAnsi="Times New Roman"/>
          <w:sz w:val="28"/>
          <w:szCs w:val="28"/>
        </w:rPr>
        <w:t xml:space="preserve">поступлением</w:t>
      </w:r>
      <w:r>
        <w:rPr>
          <w:rFonts w:ascii="Times New Roman" w:hAnsi="Times New Roman"/>
          <w:sz w:val="28"/>
          <w:szCs w:val="28"/>
        </w:rPr>
        <w:t xml:space="preserve"> доходов из других территориальных фондов обязательного медицинского страхования </w:t>
      </w:r>
      <w:r>
        <w:rPr>
          <w:rFonts w:ascii="Times New Roman" w:hAnsi="Times New Roman"/>
          <w:sz w:val="28"/>
          <w:szCs w:val="28"/>
        </w:rPr>
        <w:t xml:space="preserve">от</w:t>
      </w:r>
      <w:r>
        <w:rPr>
          <w:rFonts w:ascii="Times New Roman" w:hAnsi="Times New Roman"/>
          <w:sz w:val="28"/>
          <w:szCs w:val="28"/>
        </w:rPr>
        <w:t xml:space="preserve"> оплат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медицинской помощи, оказанной </w:t>
      </w:r>
      <w:r>
        <w:rPr>
          <w:rFonts w:ascii="Times New Roman" w:hAnsi="Times New Roman"/>
          <w:sz w:val="28"/>
          <w:szCs w:val="28"/>
        </w:rPr>
        <w:t xml:space="preserve">медицинскими организациями Чукотского автономного округа </w:t>
      </w:r>
      <w:r>
        <w:rPr>
          <w:rFonts w:ascii="Times New Roman" w:hAnsi="Times New Roman"/>
          <w:sz w:val="28"/>
          <w:szCs w:val="28"/>
        </w:rPr>
        <w:t xml:space="preserve">лиц</w:t>
      </w:r>
      <w:r>
        <w:rPr>
          <w:rFonts w:ascii="Times New Roman" w:hAnsi="Times New Roman"/>
          <w:sz w:val="28"/>
          <w:szCs w:val="28"/>
        </w:rPr>
        <w:t xml:space="preserve">ам</w:t>
      </w:r>
      <w:r>
        <w:rPr>
          <w:rFonts w:ascii="Times New Roman" w:hAnsi="Times New Roman"/>
          <w:sz w:val="28"/>
          <w:szCs w:val="28"/>
        </w:rPr>
        <w:t xml:space="preserve">, застрахованным по ОМС за пределами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составил </w:t>
      </w:r>
      <w:r>
        <w:rPr>
          <w:rFonts w:ascii="Times New Roman" w:hAnsi="Times New Roman"/>
          <w:sz w:val="28"/>
          <w:szCs w:val="28"/>
        </w:rPr>
        <w:t xml:space="preserve">262 196,4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1 января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года на счет</w:t>
      </w:r>
      <w:r>
        <w:rPr>
          <w:rFonts w:ascii="Times New Roman" w:hAnsi="Times New Roman"/>
          <w:sz w:val="28"/>
          <w:szCs w:val="28"/>
        </w:rPr>
        <w:t xml:space="preserve">ах бюджета</w:t>
      </w:r>
      <w:r>
        <w:rPr>
          <w:rFonts w:ascii="Times New Roman" w:hAnsi="Times New Roman"/>
          <w:sz w:val="28"/>
          <w:szCs w:val="28"/>
        </w:rPr>
        <w:t xml:space="preserve"> Фонда числился остаток средств в сумме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22 916,2</w:t>
      </w:r>
      <w:r>
        <w:rPr>
          <w:rFonts w:ascii="Times New Roman" w:hAnsi="Times New Roman"/>
          <w:sz w:val="28"/>
          <w:szCs w:val="28"/>
        </w:rPr>
        <w:t xml:space="preserve"> тыс. рублей.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Бюджет Фонда 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исполнен по доходам в сумме </w:t>
      </w:r>
      <w:r>
        <w:rPr>
          <w:rFonts w:ascii="Times New Roman" w:hAnsi="Times New Roman"/>
          <w:sz w:val="28"/>
          <w:szCs w:val="28"/>
        </w:rPr>
        <w:t xml:space="preserve">4 691 980,7</w:t>
      </w:r>
      <w:r>
        <w:rPr>
          <w:rFonts w:ascii="Times New Roman" w:hAnsi="Times New Roman"/>
          <w:sz w:val="28"/>
          <w:szCs w:val="28"/>
        </w:rPr>
        <w:t xml:space="preserve"> тыс. рублей, по расходам – </w:t>
      </w:r>
      <w:r>
        <w:rPr>
          <w:rFonts w:ascii="Times New Roman" w:hAnsi="Times New Roman"/>
          <w:sz w:val="28"/>
          <w:szCs w:val="28"/>
        </w:rPr>
        <w:t xml:space="preserve">4 688 593,4</w:t>
      </w:r>
      <w:r>
        <w:rPr>
          <w:rFonts w:ascii="Times New Roman" w:hAnsi="Times New Roman"/>
          <w:sz w:val="28"/>
          <w:szCs w:val="28"/>
        </w:rPr>
        <w:t xml:space="preserve"> тыс. </w:t>
      </w:r>
      <w:r>
        <w:rPr>
          <w:rFonts w:ascii="Times New Roman" w:hAnsi="Times New Roman"/>
          <w:sz w:val="28"/>
          <w:szCs w:val="28"/>
        </w:rPr>
        <w:t xml:space="preserve">рублей, с </w:t>
      </w:r>
      <w:r>
        <w:rPr>
          <w:rFonts w:ascii="Times New Roman" w:hAnsi="Times New Roman"/>
          <w:sz w:val="28"/>
          <w:szCs w:val="28"/>
        </w:rPr>
        <w:t xml:space="preserve">профицитом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3 387,3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 при запланированном объеме дефицита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22 916,2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 рублей.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eastAsia="Times New Roman" w:cs="Calibri"/>
          <w:color w:val="000000"/>
          <w:lang w:eastAsia="ru-RU"/>
        </w:rPr>
      </w:r>
      <w:r>
        <w:rPr>
          <w:rFonts w:eastAsia="Times New Roman" w:cs="Calibri"/>
          <w:color w:val="000000"/>
          <w:lang w:eastAsia="ru-RU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конец отчетного периода остаток средств на счетах бюджета Фонда составил </w:t>
      </w:r>
      <w:r>
        <w:rPr>
          <w:rFonts w:ascii="Times New Roman" w:hAnsi="Times New Roman"/>
          <w:sz w:val="28"/>
          <w:szCs w:val="28"/>
        </w:rPr>
        <w:t xml:space="preserve">26 303,5</w:t>
      </w:r>
      <w:r>
        <w:rPr>
          <w:rFonts w:ascii="Times New Roman" w:hAnsi="Times New Roman"/>
          <w:sz w:val="28"/>
          <w:szCs w:val="28"/>
        </w:rPr>
        <w:t xml:space="preserve"> тыс. 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color w:val="ff0000"/>
          <w:sz w:val="28"/>
          <w:szCs w:val="28"/>
          <w:highlight w:val="yellow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</w:rPr>
        <w:t xml:space="preserve">2.1. </w:t>
      </w:r>
      <w:r>
        <w:rPr>
          <w:rFonts w:ascii="Times New Roman" w:hAnsi="Times New Roman"/>
          <w:b/>
          <w:sz w:val="28"/>
          <w:szCs w:val="28"/>
        </w:rPr>
        <w:t xml:space="preserve">И</w:t>
      </w:r>
      <w:r>
        <w:rPr>
          <w:rStyle w:val="4578"/>
          <w:b/>
          <w:sz w:val="28"/>
          <w:szCs w:val="28"/>
        </w:rPr>
        <w:t xml:space="preserve">сполнение бюджета Фонда по доходам </w:t>
      </w:r>
      <w:r>
        <w:rPr>
          <w:rStyle w:val="4578"/>
          <w:b/>
          <w:sz w:val="28"/>
          <w:szCs w:val="28"/>
        </w:rPr>
        <w:t xml:space="preserve">в разрезе налоговых и неналоговых доходов, безвозмездных поступлений с учетом динамики исполнения данных показателей за отчетный и предыдущий финансовый период</w:t>
      </w:r>
      <w:r>
        <w:rPr>
          <w:rFonts w:ascii="Times New Roman" w:hAnsi="Times New Roman"/>
          <w:color w:val="ff0000"/>
          <w:sz w:val="28"/>
          <w:szCs w:val="28"/>
          <w:highlight w:val="yellow"/>
        </w:rPr>
      </w:r>
      <w:r>
        <w:rPr>
          <w:rFonts w:ascii="Times New Roman" w:hAnsi="Times New Roman"/>
          <w:color w:val="ff0000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в </w:t>
      </w:r>
      <w:r>
        <w:rPr>
          <w:rFonts w:ascii="Times New Roman" w:hAnsi="Times New Roman"/>
          <w:sz w:val="28"/>
          <w:szCs w:val="28"/>
        </w:rPr>
        <w:t xml:space="preserve">бюджет Фонда поступили доходы в объеме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4 691 980,7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0,3</w:t>
      </w:r>
      <w:r>
        <w:rPr>
          <w:rFonts w:ascii="Times New Roman" w:hAnsi="Times New Roman"/>
          <w:sz w:val="28"/>
          <w:szCs w:val="28"/>
        </w:rPr>
        <w:t xml:space="preserve">% от плановых назначений</w:t>
      </w:r>
      <w:r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270</w:t>
      </w:r>
      <w:r>
        <w:rPr>
          <w:rFonts w:ascii="Times New Roman" w:hAnsi="Times New Roman"/>
          <w:sz w:val="28"/>
          <w:szCs w:val="28"/>
        </w:rPr>
        <w:t xml:space="preserve"> 622,3 </w:t>
      </w:r>
      <w:r>
        <w:rPr>
          <w:rFonts w:ascii="Times New Roman" w:hAnsi="Times New Roman"/>
          <w:sz w:val="28"/>
          <w:szCs w:val="28"/>
        </w:rPr>
        <w:t xml:space="preserve">тыс. рублей или </w:t>
      </w:r>
      <w:r>
        <w:rPr>
          <w:rFonts w:ascii="Times New Roman" w:hAnsi="Times New Roman"/>
          <w:sz w:val="28"/>
          <w:szCs w:val="28"/>
        </w:rPr>
        <w:t xml:space="preserve">6,1</w:t>
      </w:r>
      <w:r>
        <w:rPr>
          <w:rFonts w:ascii="Times New Roman" w:hAnsi="Times New Roman"/>
          <w:sz w:val="28"/>
          <w:szCs w:val="28"/>
        </w:rPr>
        <w:t xml:space="preserve">% больше</w:t>
      </w:r>
      <w:r>
        <w:rPr>
          <w:rFonts w:ascii="Times New Roman" w:hAnsi="Times New Roman"/>
          <w:sz w:val="28"/>
          <w:szCs w:val="28"/>
        </w:rPr>
        <w:t xml:space="preserve"> доходов</w:t>
      </w:r>
      <w:r>
        <w:rPr>
          <w:rFonts w:ascii="Times New Roman" w:hAnsi="Times New Roman"/>
          <w:sz w:val="28"/>
          <w:szCs w:val="28"/>
        </w:rPr>
        <w:t xml:space="preserve">, поступивших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pStyle w:val="4461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 w:eastAsia="Calibri"/>
          <w:spacing w:val="0"/>
          <w:sz w:val="28"/>
          <w:szCs w:val="28"/>
          <w:lang w:eastAsia="en-US"/>
        </w:rPr>
      </w:pPr>
      <w:r>
        <w:rPr>
          <w:rFonts w:ascii="Times New Roman" w:hAnsi="Times New Roman" w:eastAsia="Calibri"/>
          <w:spacing w:val="0"/>
          <w:sz w:val="28"/>
          <w:szCs w:val="28"/>
          <w:lang w:eastAsia="en-US"/>
        </w:rPr>
        <w:t xml:space="preserve">Анализ исполнения доходной части бюджета Фонда за 202</w:t>
      </w:r>
      <w:r>
        <w:rPr>
          <w:rFonts w:ascii="Times New Roman" w:hAnsi="Times New Roman" w:eastAsia="Calibri"/>
          <w:spacing w:val="0"/>
          <w:sz w:val="28"/>
          <w:szCs w:val="28"/>
          <w:lang w:eastAsia="en-US"/>
        </w:rPr>
        <w:t xml:space="preserve">5</w:t>
      </w:r>
      <w:r>
        <w:rPr>
          <w:rFonts w:ascii="Times New Roman" w:hAnsi="Times New Roman" w:eastAsia="Calibri"/>
          <w:spacing w:val="0"/>
          <w:sz w:val="28"/>
          <w:szCs w:val="28"/>
          <w:lang w:eastAsia="en-US"/>
        </w:rPr>
        <w:t xml:space="preserve"> год приведен в таблице № 2. </w:t>
      </w:r>
      <w:r>
        <w:rPr>
          <w:rFonts w:ascii="Times New Roman" w:hAnsi="Times New Roman" w:eastAsia="Calibri"/>
          <w:spacing w:val="0"/>
          <w:sz w:val="28"/>
          <w:szCs w:val="28"/>
          <w:lang w:eastAsia="en-US"/>
        </w:rPr>
      </w:r>
      <w:r>
        <w:rPr>
          <w:rFonts w:ascii="Times New Roman" w:hAnsi="Times New Roman" w:eastAsia="Calibri"/>
          <w:spacing w:val="0"/>
          <w:sz w:val="28"/>
          <w:szCs w:val="28"/>
          <w:lang w:eastAsia="en-US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Таблица № 2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(тыс. рублей)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W w:w="98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9"/>
        <w:gridCol w:w="1984"/>
        <w:gridCol w:w="1134"/>
        <w:gridCol w:w="1275"/>
        <w:gridCol w:w="1701"/>
      </w:tblGrid>
      <w:tr>
        <w:tblPrEx/>
        <w:trPr>
          <w:trHeight w:val="259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vAlign w:val="center"/>
            <w:vMerge w:val="restart"/>
            <w:textDirection w:val="lrTb"/>
            <w:noWrap w:val="false"/>
          </w:tcPr>
          <w:p>
            <w:pPr>
              <w:ind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highlight w:val="none"/>
              </w:rPr>
              <w:t xml:space="preserve"> </w:t>
            </w:r>
            <w:bookmarkStart w:id="0" w:name="undefined"/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Наименование показателя</w:t>
            </w:r>
            <w:bookmarkEnd w:id="0"/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ind w:left="-108" w:right="-5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Утверждены бюджетные назначения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  <w:p>
            <w:pPr>
              <w:ind w:left="-108" w:right="-5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(Закон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 о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юджете Фонда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 от 0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8.12.2025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  <w:p>
            <w:pPr>
              <w:ind w:left="-108" w:right="-5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№ 99-ОЗ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  <w:p>
            <w:pPr>
              <w:ind w:left="-108" w:right="-5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тыс. рублей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Исполнено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left="-140" w:right="-49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Неисполнен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ные назначения (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), исполнены с превышением (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  <w:p>
            <w:pPr>
              <w:ind w:left="-140" w:right="-49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тыс. рублей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  <w:p>
            <w:pPr>
              <w:ind w:left="-140" w:right="-49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(гр.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гр.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69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vAlign w:val="center"/>
            <w:vMerge w:val="continue"/>
            <w:textDirection w:val="lrTb"/>
            <w:noWrap w:val="false"/>
          </w:tcPr>
          <w:p>
            <w:pPr>
              <w:ind w:right="-106"/>
              <w:jc w:val="center"/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умма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тыс. рублей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ind w:left="-22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к плану, % (гр.3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гр.2)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141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vAlign w:val="center"/>
            <w:textDirection w:val="lrTb"/>
            <w:noWrap/>
          </w:tcPr>
          <w:p>
            <w:pPr>
              <w:ind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vAlign w:val="center"/>
            <w:textDirection w:val="lrTb"/>
            <w:noWrap w:val="false"/>
          </w:tcPr>
          <w:p>
            <w:pPr>
              <w:ind w:right="-106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  <w:lang w:eastAsia="ru-RU"/>
              </w:rPr>
              <w:t xml:space="preserve">ДОХОДЫ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  <w:t xml:space="preserve">4 676 619,9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  <w:t xml:space="preserve">4 691 980,7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  <w:t xml:space="preserve">100,3</w:t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  <w:t xml:space="preserve">-15 360,8</w:t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vAlign w:val="center"/>
            <w:textDirection w:val="lrTb"/>
            <w:noWrap w:val="false"/>
          </w:tcPr>
          <w:p>
            <w:pPr>
              <w:ind w:right="-106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  <w:lang w:eastAsia="ru-RU"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  <w:t xml:space="preserve">23 608,9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  <w:t xml:space="preserve">27 085,6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  <w:t xml:space="preserve">114,7</w:t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  <w:t xml:space="preserve">-3 476,7</w:t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Theme="minorHAnsi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  <w:highlight w:val="none"/>
              </w:rPr>
              <w:t xml:space="preserve">Прочие доходы от компенсации затрат бюджетов территориальных фондов обязательного медицинского страхования</w:t>
            </w:r>
            <w:r>
              <w:rPr>
                <w:rFonts w:ascii="Times New Roman" w:hAnsi="Times New Roman" w:eastAsiaTheme="minorHAnsi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18 974,0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21 632,0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114,0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-2 658,0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vAlign w:val="center"/>
            <w:textDirection w:val="lrTb"/>
            <w:noWrap w:val="false"/>
          </w:tcPr>
          <w:p>
            <w:pPr>
              <w:ind w:right="-106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  <w:lang w:eastAsia="ru-RU"/>
              </w:rPr>
              <w:t xml:space="preserve">Штрафы, санкции, возмещение ущерба  </w:t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4 634,9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5 453,6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117,7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-818,7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vAlign w:val="center"/>
            <w:textDirection w:val="lrTb"/>
            <w:noWrap w:val="false"/>
          </w:tcPr>
          <w:p>
            <w:pPr>
              <w:ind w:right="-106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  <w:t xml:space="preserve">4 653 011,0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  <w:t xml:space="preserve">4 664 895,1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  <w:t xml:space="preserve">100,3</w:t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  <w:t xml:space="preserve">-11 884,1</w:t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170"/>
        </w:trPr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Безвозмездные поступления от других бюджетов бюджетной системы РФ  </w:t>
            </w:r>
            <w:r>
              <w:rPr>
                <w:rFonts w:ascii="Times New Roman" w:hAnsi="Times New Roman"/>
                <w:sz w:val="18"/>
                <w:szCs w:val="18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  <w14:ligatures w14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4 658 876,0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4 671 434,0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100,3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-12 558,0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39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Межбюджетные трансферты за счет средств окружного бюджета, в том числе: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473 038,0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473 038,0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8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  <w:t xml:space="preserve">Межбюджетные трансферты из бюджетов субъектов РФ, передаваемые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  <w:t xml:space="preserve">терфондам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  <w:t xml:space="preserve"> ОМС на дополнительное финансовое обеспечение реализации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  <w:t xml:space="preserve">терпрограммы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  <w:t xml:space="preserve"> ОМС в части базовой программы ОМС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244 928,6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244 928,6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9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  <w:t xml:space="preserve">Межбюджетные трансферты из бюджетов субъектов РФ, передаваемые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  <w:t xml:space="preserve">терфондам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  <w:t xml:space="preserve"> ОМС на финансовое обеспечение дополнительных видов и условий оказания медицинской помощи, не установленных базовой программой ОМС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228 109,4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228 109,4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39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Субвенции бюджетам 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терфондов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 ОМС на финансовое обеспечение организации ОМС на территориях субъектов РФ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4 050 294,1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4 050 294,1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39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Межбюджетные трансферты, передаваемые бюджетам 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терфондов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 ОМС на финансовое обеспечение осуществления денежных выплат стимулирующего характера медработникам за выявление онкологических заболеваний в ходе проведения диспансеризации и профилактических медосмотров населения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7,6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7,6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39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Прочие межбюджетные трансферты, передаваемые бюджетам территориальных фондов ОМС 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135 536,3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148 094,3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109,3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-12 558,0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850"/>
        </w:trPr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Доходы бюджетов территориальных фондов ОМС от возврата бюджетами бюджетной системы РФ остатков субсидий, субвенций и иных межбюджетных трансфертов, имеющих целевое назначение, прошлых лет  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435,9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436,0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100,0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-0,1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480"/>
        </w:trPr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Возврат остатков субсидий, субвенций и иных межбюджетных трансфертов, имеющих целевое назначение, прошлых лет  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-6 300,9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-6 974,9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110,7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 xml:space="preserve">674,0</w:t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  <w:highlight w:val="none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структурного анализа показателей установлено, что </w:t>
      </w:r>
      <w:r>
        <w:rPr>
          <w:rFonts w:ascii="Times New Roman" w:hAnsi="Times New Roman"/>
          <w:sz w:val="28"/>
          <w:szCs w:val="28"/>
        </w:rPr>
        <w:t xml:space="preserve">в отчетном периоде </w:t>
      </w:r>
      <w:r>
        <w:rPr>
          <w:rFonts w:ascii="Times New Roman" w:hAnsi="Times New Roman"/>
          <w:sz w:val="28"/>
          <w:szCs w:val="28"/>
        </w:rPr>
        <w:t xml:space="preserve">основная часть доходов бюджета Фонда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99,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%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сформирована за счет </w:t>
      </w:r>
      <w:r>
        <w:rPr>
          <w:rFonts w:ascii="Times New Roman" w:hAnsi="Times New Roman"/>
          <w:b/>
          <w:sz w:val="28"/>
          <w:szCs w:val="28"/>
        </w:rPr>
        <w:t xml:space="preserve">безвозмездных поступлений</w:t>
      </w:r>
      <w:r>
        <w:rPr>
          <w:rFonts w:ascii="Times New Roman" w:hAnsi="Times New Roman"/>
          <w:sz w:val="28"/>
          <w:szCs w:val="28"/>
        </w:rPr>
        <w:t xml:space="preserve">, объем которых с учетом возврата остатков субсидий, субвенций и иных межбюджетных трансфертов, имеющих целевое назначение, прошлых лет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составил </w:t>
      </w:r>
      <w:r>
        <w:rPr>
          <w:rFonts w:ascii="Times New Roman" w:hAnsi="Times New Roman"/>
          <w:sz w:val="28"/>
          <w:szCs w:val="28"/>
        </w:rPr>
        <w:t xml:space="preserve">4 664 895,1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 или </w:t>
      </w:r>
      <w:r>
        <w:rPr>
          <w:rFonts w:ascii="Times New Roman" w:hAnsi="Times New Roman"/>
          <w:sz w:val="28"/>
          <w:szCs w:val="28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0,3</w:t>
      </w:r>
      <w:r>
        <w:rPr>
          <w:rFonts w:ascii="Times New Roman" w:hAnsi="Times New Roman"/>
          <w:sz w:val="28"/>
          <w:szCs w:val="28"/>
        </w:rPr>
        <w:t xml:space="preserve">% плановых назначений, 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 по отношению к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(</w:t>
      </w:r>
      <w:r>
        <w:rPr>
          <w:rFonts w:ascii="Times New Roman" w:hAnsi="Times New Roman"/>
          <w:sz w:val="28"/>
          <w:szCs w:val="28"/>
        </w:rPr>
        <w:t xml:space="preserve">4 400 861,8 </w:t>
      </w:r>
      <w:r>
        <w:rPr>
          <w:rFonts w:ascii="Times New Roman" w:hAnsi="Times New Roman"/>
          <w:sz w:val="28"/>
          <w:szCs w:val="28"/>
        </w:rPr>
        <w:t xml:space="preserve">тыс. рублей) </w:t>
      </w:r>
      <w:r>
        <w:rPr>
          <w:rFonts w:ascii="Times New Roman" w:hAnsi="Times New Roman"/>
          <w:sz w:val="28"/>
          <w:szCs w:val="28"/>
        </w:rPr>
        <w:t xml:space="preserve">вырос 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264 033,3 </w:t>
      </w:r>
      <w:r>
        <w:rPr>
          <w:rFonts w:ascii="Times New Roman" w:hAnsi="Times New Roman"/>
          <w:sz w:val="28"/>
          <w:szCs w:val="28"/>
        </w:rPr>
        <w:t xml:space="preserve">тыс. рублей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6,0</w:t>
      </w:r>
      <w:r>
        <w:rPr>
          <w:rFonts w:ascii="Times New Roman" w:hAnsi="Times New Roman"/>
          <w:sz w:val="28"/>
          <w:szCs w:val="28"/>
        </w:rPr>
        <w:t xml:space="preserve">%.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Межбюджетные трансферты из окружного бюджета на 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дополнительное финансовое обеспечение реализации территориальной программы ОМС</w:t>
      </w:r>
      <w:r>
        <w:rPr>
          <w:rFonts w:ascii="Times New Roman" w:hAnsi="Times New Roman"/>
          <w:iCs/>
          <w:sz w:val="28"/>
          <w:szCs w:val="28"/>
        </w:rPr>
        <w:t xml:space="preserve"> в части базовой и сверх базовой программ ОМС</w:t>
      </w:r>
      <w:r>
        <w:rPr>
          <w:rFonts w:ascii="Times New Roman" w:hAnsi="Times New Roman"/>
          <w:sz w:val="28"/>
          <w:szCs w:val="28"/>
        </w:rPr>
        <w:t xml:space="preserve"> поступили </w:t>
      </w:r>
      <w:r>
        <w:rPr>
          <w:rFonts w:ascii="Times New Roman" w:hAnsi="Times New Roman"/>
          <w:iCs/>
          <w:sz w:val="28"/>
          <w:szCs w:val="28"/>
        </w:rPr>
        <w:t xml:space="preserve">в </w:t>
      </w:r>
      <w:r>
        <w:rPr>
          <w:rFonts w:ascii="Times New Roman" w:hAnsi="Times New Roman"/>
          <w:iCs/>
          <w:sz w:val="28"/>
          <w:szCs w:val="28"/>
        </w:rPr>
        <w:t xml:space="preserve">объеме</w:t>
      </w:r>
      <w:r>
        <w:rPr>
          <w:rFonts w:ascii="Times New Roman" w:hAnsi="Times New Roman"/>
          <w:iCs/>
          <w:sz w:val="28"/>
          <w:szCs w:val="28"/>
        </w:rPr>
        <w:t xml:space="preserve">  </w:t>
      </w:r>
      <w:r>
        <w:rPr>
          <w:rFonts w:ascii="Times New Roman" w:hAnsi="Times New Roman"/>
          <w:iCs/>
          <w:sz w:val="28"/>
          <w:szCs w:val="28"/>
        </w:rPr>
        <w:t xml:space="preserve">473 038,0 </w:t>
      </w:r>
      <w:r>
        <w:rPr>
          <w:rFonts w:ascii="Times New Roman" w:hAnsi="Times New Roman"/>
          <w:iCs/>
          <w:sz w:val="28"/>
          <w:szCs w:val="28"/>
        </w:rPr>
        <w:t xml:space="preserve">тыс. рублей</w:t>
      </w:r>
      <w:r>
        <w:rPr>
          <w:rFonts w:ascii="Times New Roman" w:hAnsi="Times New Roman"/>
          <w:iCs/>
          <w:sz w:val="28"/>
          <w:szCs w:val="28"/>
        </w:rPr>
        <w:t xml:space="preserve"> или </w:t>
      </w:r>
      <w:r>
        <w:rPr>
          <w:rFonts w:ascii="Times New Roman" w:hAnsi="Times New Roman"/>
          <w:iCs/>
          <w:sz w:val="28"/>
          <w:szCs w:val="28"/>
        </w:rPr>
        <w:t xml:space="preserve">100,0</w:t>
      </w:r>
      <w:r>
        <w:rPr>
          <w:rFonts w:ascii="Times New Roman" w:hAnsi="Times New Roman"/>
          <w:iCs/>
          <w:sz w:val="28"/>
          <w:szCs w:val="28"/>
        </w:rPr>
        <w:t xml:space="preserve">% годовых бюджетных назначений, что на </w:t>
      </w:r>
      <w:r>
        <w:rPr>
          <w:rFonts w:ascii="Times New Roman" w:hAnsi="Times New Roman"/>
          <w:iCs/>
          <w:sz w:val="28"/>
          <w:szCs w:val="28"/>
        </w:rPr>
        <w:t xml:space="preserve">343 351,4 </w:t>
      </w:r>
      <w:r>
        <w:rPr>
          <w:rFonts w:ascii="Times New Roman" w:hAnsi="Times New Roman"/>
          <w:iCs/>
          <w:sz w:val="28"/>
          <w:szCs w:val="28"/>
        </w:rPr>
        <w:t xml:space="preserve">тыс. рублей меньше трансфертов, поступивших в предыдущем</w:t>
      </w:r>
      <w:r>
        <w:rPr>
          <w:rFonts w:ascii="Times New Roman" w:hAnsi="Times New Roman"/>
          <w:sz w:val="28"/>
          <w:szCs w:val="28"/>
        </w:rPr>
        <w:t xml:space="preserve"> году (</w:t>
      </w:r>
      <w:r>
        <w:rPr>
          <w:rFonts w:ascii="Times New Roman" w:hAnsi="Times New Roman"/>
          <w:bCs/>
          <w:sz w:val="28"/>
          <w:szCs w:val="28"/>
        </w:rPr>
        <w:t xml:space="preserve">816 389,4 </w:t>
      </w:r>
      <w:r>
        <w:rPr>
          <w:rFonts w:ascii="Times New Roman" w:hAnsi="Times New Roman"/>
          <w:sz w:val="28"/>
          <w:szCs w:val="28"/>
        </w:rPr>
        <w:t xml:space="preserve">тыс. рублей).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Times New Roman" w:cs="Calibri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Субвенции из ФФ</w:t>
      </w:r>
      <w:r>
        <w:rPr>
          <w:rFonts w:ascii="Times New Roman" w:hAnsi="Times New Roman"/>
          <w:b/>
          <w:i/>
          <w:sz w:val="28"/>
          <w:szCs w:val="28"/>
        </w:rPr>
        <w:t xml:space="preserve">ОМС бюджетам территориальных фондов ОМС на финансовое обеспечение организации ОМС на территориях субъектов Р</w:t>
      </w:r>
      <w:r>
        <w:rPr>
          <w:rFonts w:ascii="Times New Roman" w:hAnsi="Times New Roman"/>
          <w:b/>
          <w:i/>
          <w:sz w:val="28"/>
          <w:szCs w:val="28"/>
        </w:rPr>
        <w:t xml:space="preserve">оссийской </w:t>
      </w:r>
      <w:r>
        <w:rPr>
          <w:rFonts w:ascii="Times New Roman" w:hAnsi="Times New Roman"/>
          <w:b/>
          <w:i/>
          <w:sz w:val="28"/>
          <w:szCs w:val="28"/>
        </w:rPr>
        <w:t xml:space="preserve">Ф</w:t>
      </w:r>
      <w:r>
        <w:rPr>
          <w:rFonts w:ascii="Times New Roman" w:hAnsi="Times New Roman"/>
          <w:b/>
          <w:i/>
          <w:sz w:val="28"/>
          <w:szCs w:val="28"/>
        </w:rPr>
        <w:t xml:space="preserve">едерации</w:t>
      </w:r>
      <w:r>
        <w:rPr>
          <w:rFonts w:ascii="Times New Roman" w:hAnsi="Times New Roman"/>
          <w:sz w:val="28"/>
          <w:szCs w:val="28"/>
        </w:rPr>
        <w:t xml:space="preserve"> поступили в объеме </w:t>
      </w:r>
      <w:r>
        <w:rPr>
          <w:rFonts w:ascii="Times New Roman" w:hAnsi="Times New Roman"/>
          <w:sz w:val="28"/>
          <w:szCs w:val="28"/>
        </w:rPr>
        <w:t xml:space="preserve">утвержденных ассигнований и составили 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050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294,1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отмечается рост объема субвенций </w:t>
      </w:r>
      <w:r>
        <w:rPr>
          <w:rFonts w:ascii="Times New Roman" w:hAnsi="Times New Roman"/>
          <w:sz w:val="28"/>
          <w:szCs w:val="28"/>
        </w:rPr>
        <w:t xml:space="preserve">из ФФ</w:t>
      </w:r>
      <w:r>
        <w:rPr>
          <w:rFonts w:ascii="Times New Roman" w:hAnsi="Times New Roman"/>
          <w:sz w:val="28"/>
          <w:szCs w:val="28"/>
        </w:rPr>
        <w:t xml:space="preserve">ОМС относительно предыдущего финансового года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604 </w:t>
      </w:r>
      <w:r>
        <w:rPr>
          <w:rFonts w:ascii="Times New Roman" w:hAnsi="Times New Roman"/>
          <w:sz w:val="28"/>
          <w:szCs w:val="28"/>
        </w:rPr>
        <w:t xml:space="preserve">883,4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17,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%</w:t>
      </w:r>
      <w:r>
        <w:rPr>
          <w:rFonts w:ascii="Times New Roman" w:hAnsi="Times New Roman"/>
          <w:sz w:val="28"/>
          <w:szCs w:val="28"/>
        </w:rPr>
        <w:t xml:space="preserve">, что связано </w:t>
      </w:r>
      <w:r>
        <w:rPr>
          <w:rFonts w:ascii="Times New Roman" w:hAnsi="Times New Roman"/>
          <w:sz w:val="28"/>
          <w:szCs w:val="28"/>
        </w:rPr>
        <w:t xml:space="preserve">с увеличением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подушевого норматива</w:t>
      </w:r>
      <w:r>
        <w:rPr>
          <w:rFonts w:ascii="Times New Roman" w:hAnsi="Times New Roman"/>
          <w:sz w:val="28"/>
          <w:szCs w:val="28"/>
        </w:rPr>
        <w:t xml:space="preserve"> финансирования оказания медицинской помощи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17,6</w:t>
      </w:r>
      <w:r>
        <w:rPr>
          <w:rFonts w:ascii="Times New Roman" w:hAnsi="Times New Roman"/>
          <w:sz w:val="28"/>
          <w:szCs w:val="28"/>
        </w:rPr>
        <w:t xml:space="preserve">%.</w:t>
      </w:r>
      <w:r>
        <w:rPr>
          <w:rFonts w:eastAsia="Times New Roman" w:cs="Calibri"/>
          <w:lang w:eastAsia="ru-RU"/>
        </w:rPr>
      </w:r>
      <w:r>
        <w:rPr>
          <w:rFonts w:eastAsia="Times New Roman" w:cs="Calibri"/>
          <w:lang w:eastAsia="ru-RU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расчета субвенции из ФФ</w:t>
      </w:r>
      <w:r>
        <w:rPr>
          <w:rFonts w:ascii="Times New Roman" w:hAnsi="Times New Roman"/>
          <w:sz w:val="28"/>
          <w:szCs w:val="28"/>
        </w:rPr>
        <w:t xml:space="preserve">ОМС приведен в таблице № 3.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Таблица № 3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5385"/>
        <w:gridCol w:w="992"/>
        <w:gridCol w:w="1134"/>
        <w:gridCol w:w="1276"/>
        <w:gridCol w:w="1134"/>
      </w:tblGrid>
      <w:tr>
        <w:tblPrEx/>
        <w:trPr>
          <w:trHeight w:val="22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Наименование показателя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2025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Изменения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сумма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Субвенции из ФФОМС, тыс. рублей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3 445 410,7</w:t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4 050 294,1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604 883,4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117,6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17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Подушевой норматив финансирования, установленный в РФ, рублей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17 932,5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21 080,3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3 147,8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117,6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Коэффициент дифференциации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4,05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4,05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Коэффициент доступности медпомощи, введен с 2024 года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1,05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1,05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Подушевой норматив с учетом дифференциации, рублей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76 257,96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89 643,98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13 386,02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117,6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Численность застрахованных лиц, человек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45 181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45 182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В объем</w:t>
      </w:r>
      <w:r>
        <w:rPr>
          <w:rFonts w:ascii="Times New Roman" w:hAnsi="Times New Roman"/>
          <w:sz w:val="28"/>
          <w:szCs w:val="28"/>
        </w:rPr>
        <w:t xml:space="preserve"> субвенции из ФФ</w:t>
      </w:r>
      <w:r>
        <w:rPr>
          <w:rFonts w:ascii="Times New Roman" w:hAnsi="Times New Roman"/>
          <w:sz w:val="28"/>
          <w:szCs w:val="28"/>
        </w:rPr>
        <w:t xml:space="preserve">ОМС включены страховые взносы на ОМС неработающего населения Чукотского автономного округа</w:t>
      </w:r>
      <w:r>
        <w:rPr>
          <w:rFonts w:ascii="Times New Roman" w:hAnsi="Times New Roman"/>
          <w:sz w:val="28"/>
          <w:szCs w:val="28"/>
        </w:rPr>
        <w:t xml:space="preserve">, ф</w:t>
      </w:r>
      <w:r>
        <w:rPr>
          <w:rFonts w:ascii="Times New Roman" w:hAnsi="Times New Roman"/>
          <w:sz w:val="28"/>
          <w:szCs w:val="28"/>
        </w:rPr>
        <w:t xml:space="preserve">инансовое обеспечение </w:t>
      </w:r>
      <w:r>
        <w:rPr>
          <w:rFonts w:ascii="Times New Roman" w:hAnsi="Times New Roman"/>
          <w:sz w:val="28"/>
          <w:szCs w:val="28"/>
        </w:rPr>
        <w:t xml:space="preserve">которых</w:t>
      </w:r>
      <w:r>
        <w:rPr>
          <w:rFonts w:ascii="Times New Roman" w:hAnsi="Times New Roman"/>
          <w:sz w:val="28"/>
          <w:szCs w:val="28"/>
        </w:rPr>
        <w:t xml:space="preserve"> осуществлялось в рамках мероприятия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Страховые взносы на обязательное медицинское страхование неработающего населения»</w:t>
      </w:r>
      <w:r>
        <w:rPr>
          <w:rFonts w:ascii="Times New Roman" w:hAnsi="Times New Roman"/>
          <w:sz w:val="28"/>
          <w:szCs w:val="28"/>
        </w:rPr>
        <w:t xml:space="preserve"> Государственной программы «Развитие здравоохранения Чукотского автономного округа».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На ОМС неработающего населения Чукотского автономного округа 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в окружном бюджете утверждены ассигнования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объеме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undefined"/>
      <w:r>
        <w:rPr>
          <w:rFonts w:ascii="Times New Roman" w:hAnsi="Times New Roman"/>
          <w:sz w:val="28"/>
          <w:szCs w:val="28"/>
        </w:rPr>
      </w:r>
      <w:bookmarkStart w:id="0" w:name="undefined"/>
      <w:r>
        <w:rPr>
          <w:rFonts w:ascii="Times New Roman" w:hAnsi="Times New Roman"/>
          <w:sz w:val="28"/>
          <w:szCs w:val="28"/>
        </w:rPr>
        <w:t xml:space="preserve">712 292,7</w:t>
      </w:r>
      <w:bookmarkEnd w:id="0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</w:t>
      </w:r>
      <w:r>
        <w:rPr>
          <w:rFonts w:ascii="Times New Roman" w:hAnsi="Times New Roman"/>
          <w:sz w:val="28"/>
          <w:szCs w:val="28"/>
        </w:rPr>
        <w:t xml:space="preserve">, которые в</w:t>
      </w:r>
      <w:r>
        <w:rPr>
          <w:rFonts w:ascii="Times New Roman" w:hAnsi="Times New Roman"/>
          <w:sz w:val="28"/>
          <w:szCs w:val="28"/>
        </w:rPr>
        <w:t xml:space="preserve">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326-ФЗ, для обеспечения реализации Территориальной программы ОМС в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направлены </w:t>
      </w:r>
      <w:r>
        <w:rPr>
          <w:rFonts w:ascii="Times New Roman" w:hAnsi="Times New Roman"/>
          <w:sz w:val="28"/>
          <w:szCs w:val="28"/>
        </w:rPr>
        <w:t xml:space="preserve">в бюджет ФФ</w:t>
      </w:r>
      <w:r>
        <w:rPr>
          <w:rFonts w:ascii="Times New Roman" w:hAnsi="Times New Roman"/>
          <w:sz w:val="28"/>
          <w:szCs w:val="28"/>
        </w:rPr>
        <w:t xml:space="preserve">ОМС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Расходные обязательства окружного бюджета по финансированию ОМС неработающего населения округа исполнены в полном объеме.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М</w:t>
      </w:r>
      <w:r>
        <w:rPr>
          <w:rFonts w:ascii="Times New Roman" w:hAnsi="Times New Roman"/>
          <w:sz w:val="28"/>
          <w:szCs w:val="28"/>
        </w:rPr>
        <w:t xml:space="preserve">ежбюджетные трансферты на финансовое обеспечение осуществления денежных выплат стимулирующего характера</w:t>
      </w:r>
      <w:r>
        <w:rPr>
          <w:rFonts w:ascii="Times New Roman" w:hAnsi="Times New Roman"/>
          <w:sz w:val="28"/>
          <w:szCs w:val="28"/>
        </w:rPr>
        <w:t xml:space="preserve"> медицинским работникам за выявление онкологических заболеваний в ходе проведения диспансеризации и профилактических осмотров населения </w:t>
      </w:r>
      <w:r>
        <w:rPr>
          <w:rFonts w:ascii="Times New Roman" w:hAnsi="Times New Roman"/>
          <w:sz w:val="28"/>
          <w:szCs w:val="28"/>
        </w:rPr>
        <w:t xml:space="preserve">поступили в бюджет Фонда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объеме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7,6</w:t>
      </w:r>
      <w:r>
        <w:rPr>
          <w:rFonts w:ascii="Times New Roman" w:hAnsi="Times New Roman"/>
          <w:sz w:val="28"/>
          <w:szCs w:val="28"/>
        </w:rPr>
        <w:t xml:space="preserve"> тыс. рублей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100,0</w:t>
      </w:r>
      <w:r>
        <w:rPr>
          <w:rFonts w:ascii="Times New Roman" w:hAnsi="Times New Roman"/>
          <w:sz w:val="28"/>
          <w:szCs w:val="28"/>
        </w:rPr>
        <w:t xml:space="preserve">% от </w:t>
      </w:r>
      <w:r>
        <w:rPr>
          <w:rFonts w:ascii="Times New Roman" w:hAnsi="Times New Roman"/>
          <w:sz w:val="28"/>
          <w:szCs w:val="28"/>
        </w:rPr>
        <w:t xml:space="preserve">плановых</w:t>
      </w:r>
      <w:r>
        <w:rPr>
          <w:rFonts w:ascii="Times New Roman" w:hAnsi="Times New Roman"/>
          <w:sz w:val="28"/>
          <w:szCs w:val="28"/>
        </w:rPr>
        <w:t xml:space="preserve"> назначений.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Объем </w:t>
      </w:r>
      <w:r>
        <w:rPr>
          <w:rFonts w:ascii="Times New Roman" w:hAnsi="Times New Roman"/>
          <w:sz w:val="28"/>
          <w:szCs w:val="28"/>
        </w:rPr>
        <w:t xml:space="preserve">прочих межбюджетных трансфертов</w:t>
      </w:r>
      <w:r>
        <w:rPr>
          <w:rFonts w:ascii="Times New Roman" w:hAnsi="Times New Roman"/>
          <w:sz w:val="28"/>
          <w:szCs w:val="28"/>
        </w:rPr>
        <w:t xml:space="preserve">, поступивших </w:t>
      </w:r>
      <w:r>
        <w:rPr>
          <w:rFonts w:ascii="Times New Roman" w:hAnsi="Times New Roman"/>
          <w:sz w:val="28"/>
          <w:szCs w:val="28"/>
        </w:rPr>
        <w:t xml:space="preserve">от других территориальных фондов ОМС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порядке межтерриториальных расчетов </w:t>
      </w:r>
      <w:r>
        <w:rPr>
          <w:rFonts w:ascii="Times New Roman" w:hAnsi="Times New Roman"/>
          <w:sz w:val="28"/>
          <w:szCs w:val="28"/>
        </w:rPr>
        <w:t xml:space="preserve">и ФФОМС на дополнительное финансовое обеспечение медицинской помощи </w:t>
      </w:r>
      <w:r>
        <w:rPr>
          <w:rFonts w:ascii="Times New Roman" w:hAnsi="Times New Roman"/>
          <w:sz w:val="28"/>
          <w:szCs w:val="28"/>
        </w:rPr>
        <w:t xml:space="preserve">в 202</w:t>
      </w:r>
      <w:r>
        <w:rPr>
          <w:rFonts w:ascii="Times New Roman" w:hAnsi="Times New Roman"/>
          <w:sz w:val="28"/>
          <w:szCs w:val="28"/>
        </w:rPr>
        <w:t xml:space="preserve">5 </w:t>
      </w:r>
      <w:r>
        <w:rPr>
          <w:rFonts w:ascii="Times New Roman" w:hAnsi="Times New Roman"/>
          <w:sz w:val="28"/>
          <w:szCs w:val="28"/>
        </w:rPr>
        <w:t xml:space="preserve">году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составил </w:t>
      </w:r>
      <w:r>
        <w:rPr>
          <w:rFonts w:ascii="Times New Roman" w:hAnsi="Times New Roman"/>
          <w:sz w:val="28"/>
          <w:szCs w:val="28"/>
        </w:rPr>
        <w:t xml:space="preserve">148 094,3 </w:t>
      </w:r>
      <w:r>
        <w:rPr>
          <w:rFonts w:ascii="Times New Roman" w:hAnsi="Times New Roman"/>
          <w:sz w:val="28"/>
          <w:szCs w:val="28"/>
        </w:rPr>
        <w:t xml:space="preserve">тыс. рублей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 xml:space="preserve">109,3</w:t>
      </w:r>
      <w:r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плановых назн</w:t>
      </w:r>
      <w:r>
        <w:rPr>
          <w:rFonts w:ascii="Times New Roman" w:hAnsi="Times New Roman"/>
          <w:sz w:val="28"/>
          <w:szCs w:val="28"/>
        </w:rPr>
        <w:t xml:space="preserve">ачений</w:t>
      </w:r>
      <w:r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41 399,2 </w:t>
      </w:r>
      <w:r>
        <w:rPr>
          <w:rFonts w:ascii="Times New Roman" w:hAnsi="Times New Roman"/>
          <w:sz w:val="28"/>
          <w:szCs w:val="28"/>
        </w:rPr>
        <w:t xml:space="preserve">меньше</w:t>
      </w:r>
      <w:r>
        <w:rPr>
          <w:rFonts w:ascii="Times New Roman" w:hAnsi="Times New Roman"/>
          <w:sz w:val="28"/>
          <w:szCs w:val="28"/>
        </w:rPr>
        <w:t xml:space="preserve"> объемов трансфертов,</w:t>
      </w:r>
      <w:r>
        <w:rPr>
          <w:rFonts w:ascii="Times New Roman" w:hAnsi="Times New Roman"/>
          <w:sz w:val="28"/>
          <w:szCs w:val="28"/>
        </w:rPr>
        <w:t xml:space="preserve"> поступивших в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году (</w:t>
      </w:r>
      <w:r>
        <w:rPr>
          <w:rFonts w:ascii="Times New Roman" w:hAnsi="Times New Roman"/>
          <w:sz w:val="28"/>
          <w:szCs w:val="28"/>
        </w:rPr>
        <w:t xml:space="preserve">189 493,5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 рублей)</w:t>
      </w:r>
      <w:r>
        <w:rPr>
          <w:rFonts w:ascii="Times New Roman" w:hAnsi="Times New Roman"/>
          <w:sz w:val="28"/>
          <w:szCs w:val="28"/>
        </w:rPr>
        <w:t xml:space="preserve"> и связано с уменьшением случаев оказания медицинской помощи медицинскими организациями Чукотского автономного округа гражданам, застрахованным в других субъектах Российской Федерации.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Кроме того, в бюджет Фонда поступили доходы от возврата остатков субсидий, субвенций и иных межбюджетных трансфертов, имеющих целевое назначение, прошлых лет, в </w:t>
      </w:r>
      <w:r>
        <w:rPr>
          <w:rFonts w:ascii="Times New Roman" w:hAnsi="Times New Roman"/>
          <w:sz w:val="28"/>
          <w:szCs w:val="28"/>
        </w:rPr>
        <w:t xml:space="preserve">объеме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436,0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или 100,0% от плановых назначений.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</w:t>
      </w:r>
      <w:r>
        <w:rPr>
          <w:rFonts w:ascii="Times New Roman" w:hAnsi="Times New Roman"/>
          <w:sz w:val="28"/>
          <w:szCs w:val="28"/>
        </w:rPr>
        <w:t xml:space="preserve">ей 242 Бюджетного кодекса в 2024</w:t>
      </w:r>
      <w:r>
        <w:rPr>
          <w:rFonts w:ascii="Times New Roman" w:hAnsi="Times New Roman"/>
          <w:sz w:val="28"/>
          <w:szCs w:val="28"/>
        </w:rPr>
        <w:t xml:space="preserve"> году Фондом возвращены в доход соответствующих бюджетов остатки субсидий, субвенци</w:t>
      </w:r>
      <w:r>
        <w:rPr>
          <w:rFonts w:ascii="Times New Roman" w:hAnsi="Times New Roman"/>
          <w:sz w:val="28"/>
          <w:szCs w:val="28"/>
        </w:rPr>
        <w:t xml:space="preserve">й и иных межбюджетных трансфертов, имеющих целевое назначение, прошлых лет, в общем объеме </w:t>
      </w:r>
      <w:r>
        <w:rPr>
          <w:rFonts w:ascii="Times New Roman" w:hAnsi="Times New Roman"/>
          <w:sz w:val="28"/>
          <w:szCs w:val="28"/>
        </w:rPr>
        <w:t xml:space="preserve">6 974,9 </w:t>
      </w:r>
      <w:r>
        <w:rPr>
          <w:rFonts w:ascii="Times New Roman" w:hAnsi="Times New Roman"/>
          <w:sz w:val="28"/>
          <w:szCs w:val="28"/>
        </w:rPr>
        <w:t xml:space="preserve">тыс. рублей.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Налоговые и неналоговые доходы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структуре бюджета Фон</w:t>
      </w:r>
      <w:r>
        <w:rPr>
          <w:rFonts w:ascii="Times New Roman" w:hAnsi="Times New Roman"/>
          <w:sz w:val="28"/>
          <w:szCs w:val="28"/>
        </w:rPr>
        <w:t xml:space="preserve">да состав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0,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%</w:t>
      </w:r>
      <w:r>
        <w:rPr>
          <w:rFonts w:ascii="Times New Roman" w:hAnsi="Times New Roman"/>
          <w:sz w:val="28"/>
          <w:szCs w:val="28"/>
        </w:rPr>
        <w:t xml:space="preserve">. В 2025</w:t>
      </w:r>
      <w:r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в бюджет Фонда </w:t>
      </w:r>
      <w:r>
        <w:rPr>
          <w:rFonts w:ascii="Times New Roman" w:hAnsi="Times New Roman"/>
          <w:sz w:val="28"/>
          <w:szCs w:val="28"/>
        </w:rPr>
        <w:t xml:space="preserve">поступили налоговые и неналоговые доходы </w:t>
      </w:r>
      <w:r>
        <w:rPr>
          <w:rFonts w:ascii="Times New Roman" w:hAnsi="Times New Roman"/>
          <w:sz w:val="28"/>
          <w:szCs w:val="28"/>
        </w:rPr>
        <w:t xml:space="preserve">в сумме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27 085,</w:t>
      </w:r>
      <w:r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рублей или </w:t>
      </w:r>
      <w:r>
        <w:rPr>
          <w:rFonts w:ascii="Times New Roman" w:hAnsi="Times New Roman"/>
          <w:sz w:val="28"/>
          <w:szCs w:val="28"/>
        </w:rPr>
        <w:t xml:space="preserve">114,7</w:t>
      </w:r>
      <w:r>
        <w:rPr>
          <w:rFonts w:ascii="Times New Roman" w:hAnsi="Times New Roman"/>
          <w:sz w:val="28"/>
          <w:szCs w:val="28"/>
        </w:rPr>
        <w:t xml:space="preserve">% плановых</w:t>
      </w:r>
      <w:r>
        <w:rPr>
          <w:rFonts w:ascii="Times New Roman" w:hAnsi="Times New Roman"/>
          <w:bCs/>
          <w:sz w:val="28"/>
          <w:szCs w:val="28"/>
        </w:rPr>
        <w:t xml:space="preserve"> назначений,</w:t>
      </w:r>
      <w:r>
        <w:rPr>
          <w:rFonts w:ascii="Times New Roman" w:hAnsi="Times New Roman"/>
          <w:sz w:val="28"/>
          <w:szCs w:val="28"/>
        </w:rPr>
        <w:t xml:space="preserve"> в том числе: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от оказания платных услуг и компенсации затрат государства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21 632,0 </w:t>
      </w:r>
      <w:r>
        <w:rPr>
          <w:rFonts w:ascii="Times New Roman" w:hAnsi="Times New Roman"/>
          <w:sz w:val="28"/>
          <w:szCs w:val="28"/>
        </w:rPr>
        <w:t xml:space="preserve">тыс. рублей, из них: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от штрафов, санкций, возмещения ущерба – </w:t>
      </w:r>
      <w:r>
        <w:rPr>
          <w:rFonts w:ascii="Times New Roman" w:hAnsi="Times New Roman"/>
          <w:sz w:val="28"/>
          <w:szCs w:val="28"/>
        </w:rPr>
        <w:t xml:space="preserve">5 453,6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 xml:space="preserve">И</w:t>
      </w:r>
      <w:r>
        <w:rPr>
          <w:rStyle w:val="4578"/>
          <w:b/>
          <w:sz w:val="28"/>
          <w:szCs w:val="28"/>
        </w:rPr>
        <w:t xml:space="preserve">сполнени</w:t>
      </w:r>
      <w:r>
        <w:rPr>
          <w:rStyle w:val="4578"/>
          <w:b/>
          <w:sz w:val="28"/>
          <w:szCs w:val="28"/>
        </w:rPr>
        <w:t xml:space="preserve">е</w:t>
      </w:r>
      <w:r>
        <w:rPr>
          <w:rStyle w:val="4578"/>
          <w:b/>
          <w:sz w:val="28"/>
          <w:szCs w:val="28"/>
        </w:rPr>
        <w:t xml:space="preserve"> бюджета Фонда по расходам</w:t>
      </w:r>
      <w:r>
        <w:rPr>
          <w:rStyle w:val="4578"/>
          <w:b/>
          <w:sz w:val="28"/>
          <w:szCs w:val="28"/>
        </w:rPr>
        <w:t xml:space="preserve"> в разрезе разделов, подразделов и целевых статей бюджетной классификации с учетом динамики исполнения данных показателей за отчетный и предыдущий финансовый период с указанием причин неиспользования бюджетных ассигнований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0"/>
        </w:rPr>
        <w:t xml:space="preserve">В </w:t>
      </w:r>
      <w:r>
        <w:rPr>
          <w:rFonts w:ascii="Times New Roman" w:hAnsi="Times New Roman" w:eastAsia="Times New Roman"/>
          <w:sz w:val="28"/>
          <w:szCs w:val="28"/>
        </w:rPr>
        <w:t xml:space="preserve">202</w:t>
      </w:r>
      <w:r>
        <w:rPr>
          <w:rFonts w:ascii="Times New Roman" w:hAnsi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/>
          <w:sz w:val="28"/>
          <w:szCs w:val="28"/>
        </w:rPr>
        <w:t xml:space="preserve"> году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бюджет </w:t>
      </w:r>
      <w:r>
        <w:rPr>
          <w:rFonts w:ascii="Times New Roman" w:hAnsi="Times New Roman" w:eastAsia="Times New Roman"/>
          <w:sz w:val="28"/>
          <w:szCs w:val="28"/>
        </w:rPr>
        <w:t xml:space="preserve">Фонда по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расходам </w:t>
      </w:r>
      <w:r>
        <w:rPr>
          <w:rFonts w:ascii="Times New Roman" w:hAnsi="Times New Roman" w:eastAsia="Times New Roman"/>
          <w:sz w:val="28"/>
          <w:szCs w:val="28"/>
        </w:rPr>
        <w:t xml:space="preserve">исполнен </w:t>
      </w:r>
      <w:r>
        <w:rPr>
          <w:rFonts w:ascii="Times New Roman" w:hAnsi="Times New Roman" w:eastAsia="Times New Roman"/>
          <w:sz w:val="28"/>
          <w:szCs w:val="28"/>
        </w:rPr>
        <w:t xml:space="preserve">в объеме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4 688 593,4</w:t>
      </w:r>
      <w:r>
        <w:rPr>
          <w:rFonts w:ascii="Times New Roman" w:hAnsi="Times New Roman"/>
          <w:sz w:val="28"/>
          <w:szCs w:val="28"/>
        </w:rPr>
        <w:t xml:space="preserve"> тыс. </w:t>
      </w:r>
      <w:r>
        <w:rPr>
          <w:rFonts w:ascii="Times New Roman" w:hAnsi="Times New Roman"/>
          <w:sz w:val="28"/>
          <w:szCs w:val="28"/>
        </w:rPr>
        <w:t xml:space="preserve">рублей или </w:t>
      </w:r>
      <w:r>
        <w:rPr>
          <w:rFonts w:ascii="Times New Roman" w:hAnsi="Times New Roman"/>
          <w:sz w:val="28"/>
          <w:szCs w:val="28"/>
        </w:rPr>
        <w:t xml:space="preserve">99,7</w:t>
      </w:r>
      <w:r>
        <w:rPr>
          <w:rFonts w:ascii="Times New Roman" w:hAnsi="Times New Roman"/>
          <w:sz w:val="28"/>
          <w:szCs w:val="28"/>
        </w:rPr>
        <w:t xml:space="preserve">% от </w:t>
      </w:r>
      <w:r>
        <w:rPr>
          <w:rFonts w:ascii="Times New Roman" w:hAnsi="Times New Roman"/>
          <w:sz w:val="28"/>
          <w:szCs w:val="28"/>
        </w:rPr>
        <w:t xml:space="preserve">объемов </w:t>
      </w:r>
      <w:r>
        <w:rPr>
          <w:rFonts w:ascii="Times New Roman" w:hAnsi="Times New Roman" w:eastAsia="Times New Roman"/>
          <w:sz w:val="28"/>
          <w:szCs w:val="28"/>
        </w:rPr>
        <w:t xml:space="preserve">ассигнований, </w:t>
      </w:r>
      <w:r>
        <w:rPr>
          <w:rFonts w:ascii="Times New Roman" w:hAnsi="Times New Roman" w:eastAsia="Times New Roman"/>
          <w:sz w:val="28"/>
          <w:szCs w:val="28"/>
        </w:rPr>
        <w:t xml:space="preserve">утвержденных сводной росписью</w:t>
      </w:r>
      <w:r>
        <w:rPr>
          <w:rFonts w:ascii="Times New Roman" w:hAnsi="Times New Roman" w:eastAsia="Times New Roman"/>
          <w:sz w:val="28"/>
          <w:szCs w:val="28"/>
        </w:rPr>
        <w:t xml:space="preserve"> расходов бюджета Фонда</w:t>
      </w:r>
      <w:r>
        <w:rPr>
          <w:rFonts w:ascii="Times New Roman" w:hAnsi="Times New Roman" w:eastAsia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/>
          <w:sz w:val="28"/>
          <w:szCs w:val="28"/>
        </w:rPr>
        <w:t xml:space="preserve">215 264,7 </w:t>
      </w:r>
      <w:r>
        <w:rPr>
          <w:rFonts w:ascii="Times New Roman" w:hAnsi="Times New Roman" w:eastAsia="Times New Roman"/>
          <w:sz w:val="28"/>
          <w:szCs w:val="28"/>
        </w:rPr>
        <w:t xml:space="preserve">тыс. рублей или </w:t>
      </w:r>
      <w:r>
        <w:rPr>
          <w:rFonts w:ascii="Times New Roman" w:hAnsi="Times New Roman" w:eastAsia="Times New Roman"/>
          <w:sz w:val="28"/>
          <w:szCs w:val="28"/>
        </w:rPr>
        <w:t xml:space="preserve">4,8</w:t>
      </w:r>
      <w:r>
        <w:rPr>
          <w:rFonts w:ascii="Times New Roman" w:hAnsi="Times New Roman" w:eastAsia="Times New Roman"/>
          <w:sz w:val="28"/>
          <w:szCs w:val="28"/>
        </w:rPr>
        <w:t xml:space="preserve">% бо</w:t>
      </w:r>
      <w:r>
        <w:rPr>
          <w:rFonts w:ascii="Times New Roman" w:hAnsi="Times New Roman" w:eastAsia="Times New Roman"/>
          <w:sz w:val="28"/>
          <w:szCs w:val="28"/>
        </w:rPr>
        <w:t xml:space="preserve">льше расходов исполненных в 2024</w:t>
      </w:r>
      <w:r>
        <w:rPr>
          <w:rFonts w:ascii="Times New Roman" w:hAnsi="Times New Roman" w:eastAsia="Times New Roman"/>
          <w:sz w:val="28"/>
          <w:szCs w:val="28"/>
        </w:rPr>
        <w:t xml:space="preserve"> году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Неисполненные бюджетные назначения </w:t>
      </w:r>
      <w:r>
        <w:rPr>
          <w:rFonts w:ascii="Times New Roman" w:hAnsi="Times New Roman" w:eastAsia="Times New Roman"/>
          <w:sz w:val="28"/>
          <w:szCs w:val="28"/>
        </w:rPr>
        <w:t xml:space="preserve">в целом </w:t>
      </w:r>
      <w:r>
        <w:rPr>
          <w:rFonts w:ascii="Times New Roman" w:hAnsi="Times New Roman" w:eastAsia="Times New Roman"/>
          <w:sz w:val="28"/>
          <w:szCs w:val="28"/>
        </w:rPr>
        <w:t xml:space="preserve">составили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15 179,7 </w:t>
      </w:r>
      <w:r>
        <w:rPr>
          <w:rFonts w:ascii="Times New Roman" w:hAnsi="Times New Roman" w:eastAsia="Times New Roman"/>
          <w:sz w:val="28"/>
          <w:szCs w:val="28"/>
        </w:rPr>
        <w:t xml:space="preserve">тыс.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рублей или </w:t>
      </w:r>
      <w:r>
        <w:rPr>
          <w:rFonts w:ascii="Times New Roman" w:hAnsi="Times New Roman" w:eastAsia="Times New Roman"/>
          <w:sz w:val="28"/>
          <w:szCs w:val="28"/>
        </w:rPr>
        <w:t xml:space="preserve">0,</w:t>
      </w:r>
      <w:r>
        <w:rPr>
          <w:rFonts w:ascii="Times New Roman" w:hAnsi="Times New Roman" w:eastAsia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/>
          <w:sz w:val="28"/>
          <w:szCs w:val="28"/>
        </w:rPr>
        <w:t xml:space="preserve">% от утвержденных ассигнований, из них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13 533,3 </w:t>
      </w:r>
      <w:r>
        <w:rPr>
          <w:rFonts w:ascii="Times New Roman" w:hAnsi="Times New Roman" w:eastAsia="Times New Roman"/>
          <w:sz w:val="28"/>
          <w:szCs w:val="28"/>
        </w:rPr>
        <w:t xml:space="preserve">тыс. рублей или </w:t>
      </w:r>
      <w:r>
        <w:rPr>
          <w:rFonts w:ascii="Times New Roman" w:hAnsi="Times New Roman" w:eastAsia="Times New Roman"/>
          <w:sz w:val="28"/>
          <w:szCs w:val="28"/>
        </w:rPr>
        <w:t xml:space="preserve">0,3</w:t>
      </w:r>
      <w:r>
        <w:rPr>
          <w:rFonts w:ascii="Times New Roman" w:hAnsi="Times New Roman" w:eastAsia="Times New Roman"/>
          <w:sz w:val="28"/>
          <w:szCs w:val="28"/>
        </w:rPr>
        <w:t xml:space="preserve">% – по разделу «Здравоохранение». Анализ исполнения бюджета Фонда по расходам за 202</w:t>
      </w:r>
      <w:r>
        <w:rPr>
          <w:rFonts w:ascii="Times New Roman" w:hAnsi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/>
          <w:sz w:val="28"/>
          <w:szCs w:val="28"/>
        </w:rPr>
        <w:t xml:space="preserve"> год приведен в таблице № 4. 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tabs>
          <w:tab w:val="left" w:pos="284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Таблица № 4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tabs>
          <w:tab w:val="left" w:pos="28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4110"/>
        <w:gridCol w:w="1559"/>
        <w:gridCol w:w="1134"/>
        <w:gridCol w:w="1134"/>
        <w:gridCol w:w="1984"/>
      </w:tblGrid>
      <w:tr>
        <w:tblPrEx/>
        <w:trPr>
          <w:trHeight w:val="45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Align w:val="center"/>
            <w:vMerge w:val="restart"/>
            <w:textDirection w:val="lrTb"/>
            <w:noWrap w:val="false"/>
          </w:tcPr>
          <w:p>
            <w:pPr>
              <w:ind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Наименование показателя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left="-108" w:right="-5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Утверждены бюджетные назначения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left="-108" w:right="-5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сводная роспись расходов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left="-108" w:right="-5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на 30.12.2025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, тыс. рублей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Исполнено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ind w:left="-140" w:right="-49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Неисполненные назначения (+), исполнены с превышением (-),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left="-140" w:right="-49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тыс. рублей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left="-140" w:right="-49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(гр.2 - гр.3)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821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ind w:right="-106"/>
              <w:jc w:val="center"/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22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сумма,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  <w:p>
            <w:pPr>
              <w:ind w:left="-22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тыс. рублей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22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к плану, % (гр.3 / гр.2)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Align w:val="center"/>
            <w:textDirection w:val="lrTb"/>
            <w:noWrap/>
          </w:tcPr>
          <w:p>
            <w:pPr>
              <w:ind w:right="-106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РАСХОДЫ  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4 703 773,1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4 688 593,4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99,7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15 179,7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72 357,6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70 711,2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97,7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1 646,4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Финанс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овое обеспечение организации ОМС на территориях субъектов РФ (Расходы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60 224,2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59 484,1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98,8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740,1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Финансовое обеспечение организации ОМС на территориях субъектов РФ (Закупки товаров, работ и услуг для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государственных  (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муниципальных) нужд)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12 129,2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11 222,9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92,5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906,3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Финансовое обеспечение организации ОМС на территориях субъектов РФ (Иные бюджетные ассигнования)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Здравоохранение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4 631 415,5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4 617 882,2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99,7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13 533,3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Территориальная программа ОМС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 xml:space="preserve">4 453 338,8</w:t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 xml:space="preserve">4 451 701,3</w:t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 xml:space="preserve">1 637,5</w:t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Финансовое обеспечение организации ОМС на территориях субъектов РФ (Социальное обеспечение и иные выплаты населению)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3 888 536,7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3 887 303,6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1 233,1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Финансовое обеспечение организации ОМС на территориях субъектов РФ (Межбюджетные трансферты)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91 764,1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91 501,2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99,7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262,9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Выполнение территориальной программы ОМС в рамках базовой программы ОМС (Социальное обеспечение и иные выплаты населению)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244 928,6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244 928,6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Выполнение территориальной программы ОМС сверх базовой программы ОМС (Социальное обеспечение и иные выплаты населению) 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228 109,4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227 967,9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141,5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ededed" w:themeFill="accent3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Непрограммные направления деятельности органов управления территориальных государственных внебюджетных фондов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178 076,7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166 180,9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93,3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ededed" w:themeFill="accent3" w:themeFillTint="3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11 895,8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Финансовое обеспечение иных расходов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117 528,7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117 525,0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3,7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Организация ОМС на территории Чукотского автономного округа за счет иных источников (Социальное обеспечение и иные выплаты населению)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117 521,1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117 519,6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Финансовое обеспечение осуществления д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енежных выплат стимулирующего характера медицинским работникам за выявление онкологических заболеваний в ходе проведения диспансеризации и профосмотров населения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71,1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  <w:t xml:space="preserve">Управление средствами нормированного страхового запаса</w:t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60 548,0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48 655,9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80,4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11 892,1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Финансовое обеспечение формирования НСЗ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терфонда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ОМС (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Софинансирование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расходов медицинских организаций на оплату труда врачей и среднего медицинского персонала)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29 870,4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29 508,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98,8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362,0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</w:tr>
    </w:tbl>
    <w:p>
      <w:pPr>
        <w:spacing w:before="0" w:beforeAutospacing="0" w:after="0" w:afterAutospacing="0" w:line="240" w:lineRule="auto"/>
      </w:pPr>
      <w:r/>
      <w:r/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отчетном периоде основная доля средств Фонда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94,9</w:t>
      </w:r>
      <w:r>
        <w:rPr>
          <w:rFonts w:ascii="Times New Roman" w:hAnsi="Times New Roman"/>
          <w:sz w:val="28"/>
          <w:szCs w:val="28"/>
        </w:rPr>
        <w:t xml:space="preserve">%, направлена на реализацию Территориальной программы ОМС в рамках базовой и сверх базовой программ ОМС; </w:t>
      </w:r>
      <w:r>
        <w:rPr>
          <w:rFonts w:ascii="Times New Roman" w:hAnsi="Times New Roman"/>
          <w:sz w:val="28"/>
          <w:szCs w:val="28"/>
        </w:rPr>
        <w:t xml:space="preserve">3,5</w:t>
      </w:r>
      <w:r>
        <w:rPr>
          <w:rFonts w:ascii="Times New Roman" w:hAnsi="Times New Roman"/>
          <w:sz w:val="28"/>
          <w:szCs w:val="28"/>
        </w:rPr>
        <w:t xml:space="preserve">% – на </w:t>
      </w:r>
      <w:r>
        <w:rPr>
          <w:rFonts w:ascii="Times New Roman" w:hAnsi="Times New Roman"/>
          <w:sz w:val="28"/>
          <w:szCs w:val="28"/>
        </w:rPr>
        <w:t xml:space="preserve">финансовое обеспечение н</w:t>
      </w:r>
      <w:r>
        <w:rPr>
          <w:rFonts w:ascii="Times New Roman" w:hAnsi="Times New Roman"/>
          <w:sz w:val="28"/>
          <w:szCs w:val="28"/>
        </w:rPr>
        <w:t xml:space="preserve">епрограммных направлений деятельности Фонда; </w:t>
      </w:r>
      <w:r>
        <w:rPr>
          <w:rFonts w:ascii="Times New Roman" w:hAnsi="Times New Roman"/>
          <w:sz w:val="28"/>
          <w:szCs w:val="28"/>
        </w:rPr>
        <w:t xml:space="preserve">1,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% –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выполнение функций аппаратом Фонда.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«Общегосударственные вопросы». </w:t>
      </w:r>
      <w:r>
        <w:rPr>
          <w:rFonts w:ascii="Times New Roman" w:hAnsi="Times New Roman"/>
          <w:sz w:val="28"/>
          <w:szCs w:val="28"/>
        </w:rPr>
        <w:t xml:space="preserve">Расходы на выполнение управленческих функций Фонда исполнены в сумме </w:t>
      </w:r>
      <w:r>
        <w:rPr>
          <w:rFonts w:ascii="Times New Roman" w:hAnsi="Times New Roman"/>
          <w:sz w:val="28"/>
          <w:szCs w:val="28"/>
        </w:rPr>
        <w:t xml:space="preserve">70 711,2 </w:t>
      </w:r>
      <w:r>
        <w:rPr>
          <w:rFonts w:ascii="Times New Roman" w:hAnsi="Times New Roman"/>
          <w:sz w:val="28"/>
          <w:szCs w:val="28"/>
        </w:rPr>
        <w:t xml:space="preserve">тыс. рублей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97</w:t>
      </w:r>
      <w:r>
        <w:rPr>
          <w:rFonts w:ascii="Times New Roman" w:hAnsi="Times New Roman"/>
          <w:sz w:val="28"/>
          <w:szCs w:val="28"/>
        </w:rPr>
        <w:t xml:space="preserve">,7</w:t>
      </w:r>
      <w:r>
        <w:rPr>
          <w:rFonts w:ascii="Times New Roman" w:hAnsi="Times New Roman"/>
          <w:sz w:val="28"/>
          <w:szCs w:val="28"/>
        </w:rPr>
        <w:t xml:space="preserve">% от </w:t>
      </w:r>
      <w:r>
        <w:rPr>
          <w:rFonts w:ascii="Times New Roman" w:hAnsi="Times New Roman"/>
          <w:sz w:val="28"/>
          <w:szCs w:val="28"/>
        </w:rPr>
        <w:t xml:space="preserve">утвержденных ассигнований</w:t>
      </w:r>
      <w:r>
        <w:rPr>
          <w:rFonts w:ascii="Times New Roman" w:hAnsi="Times New Roman"/>
          <w:sz w:val="28"/>
          <w:szCs w:val="28"/>
        </w:rPr>
        <w:t xml:space="preserve">, в сравнении с предыдущим </w:t>
      </w:r>
      <w:r>
        <w:rPr>
          <w:rFonts w:ascii="Times New Roman" w:hAnsi="Times New Roman"/>
          <w:sz w:val="28"/>
          <w:szCs w:val="28"/>
        </w:rPr>
        <w:t xml:space="preserve">финансовым </w:t>
      </w:r>
      <w:r>
        <w:rPr>
          <w:rFonts w:ascii="Times New Roman" w:hAnsi="Times New Roman"/>
          <w:sz w:val="28"/>
          <w:szCs w:val="28"/>
        </w:rPr>
        <w:t xml:space="preserve">годом </w:t>
      </w:r>
      <w:r>
        <w:rPr>
          <w:rFonts w:ascii="Times New Roman" w:hAnsi="Times New Roman"/>
          <w:sz w:val="28"/>
          <w:szCs w:val="28"/>
        </w:rPr>
        <w:t xml:space="preserve">увеличились на </w:t>
      </w:r>
      <w:r>
        <w:rPr>
          <w:rFonts w:ascii="Times New Roman" w:hAnsi="Times New Roman"/>
          <w:sz w:val="28"/>
          <w:szCs w:val="28"/>
        </w:rPr>
        <w:t xml:space="preserve">3 296,6 </w:t>
      </w:r>
      <w:r>
        <w:rPr>
          <w:rFonts w:ascii="Times New Roman" w:hAnsi="Times New Roman"/>
          <w:sz w:val="28"/>
          <w:szCs w:val="28"/>
        </w:rPr>
        <w:t xml:space="preserve">тыс. рублей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на </w:t>
      </w:r>
      <w:r>
        <w:rPr>
          <w:rFonts w:ascii="Times New Roman" w:hAnsi="Times New Roman"/>
          <w:sz w:val="28"/>
          <w:szCs w:val="28"/>
        </w:rPr>
        <w:t xml:space="preserve">4,9</w:t>
      </w:r>
      <w:r>
        <w:rPr>
          <w:rFonts w:ascii="Times New Roman" w:hAnsi="Times New Roman"/>
          <w:sz w:val="28"/>
          <w:szCs w:val="28"/>
        </w:rPr>
        <w:t xml:space="preserve">%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году расходы по разделу «Здравоохранение» </w:t>
      </w:r>
      <w:r>
        <w:rPr>
          <w:rFonts w:ascii="Times New Roman" w:hAnsi="Times New Roman"/>
          <w:sz w:val="28"/>
          <w:szCs w:val="28"/>
        </w:rPr>
        <w:t xml:space="preserve">в сравнении с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годом увеличились в целом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211 968,1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/>
          <w:sz w:val="28"/>
          <w:szCs w:val="28"/>
        </w:rPr>
        <w:t xml:space="preserve">4,8</w:t>
      </w:r>
      <w:r>
        <w:rPr>
          <w:rFonts w:ascii="Times New Roman" w:hAnsi="Times New Roman"/>
          <w:sz w:val="28"/>
          <w:szCs w:val="28"/>
        </w:rPr>
        <w:t xml:space="preserve">%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связи с ростом подушевого норматива финансирования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составили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4 617 882,2 </w:t>
      </w:r>
      <w:r>
        <w:rPr>
          <w:rFonts w:ascii="Times New Roman" w:hAnsi="Times New Roman"/>
          <w:sz w:val="28"/>
          <w:szCs w:val="28"/>
        </w:rPr>
        <w:t xml:space="preserve">тыс. рублей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99,7</w:t>
      </w:r>
      <w:r>
        <w:rPr>
          <w:rFonts w:ascii="Times New Roman" w:hAnsi="Times New Roman"/>
          <w:sz w:val="28"/>
          <w:szCs w:val="28"/>
        </w:rPr>
        <w:t xml:space="preserve">% от </w:t>
      </w:r>
      <w:r>
        <w:rPr>
          <w:rFonts w:ascii="Times New Roman" w:hAnsi="Times New Roman"/>
          <w:sz w:val="28"/>
          <w:szCs w:val="28"/>
        </w:rPr>
        <w:t xml:space="preserve">утвержденных ассигнований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на реализацию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Тер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риториальной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программы ОМС</w:t>
      </w:r>
      <w:r>
        <w:rPr>
          <w:rFonts w:ascii="Times New Roman" w:hAnsi="Times New Roman"/>
          <w:sz w:val="28"/>
          <w:szCs w:val="28"/>
        </w:rPr>
        <w:t xml:space="preserve"> в отчетном периоде в целом составили </w:t>
      </w:r>
      <w:r>
        <w:rPr>
          <w:rFonts w:ascii="Times New Roman" w:hAnsi="Times New Roman"/>
          <w:sz w:val="28"/>
          <w:szCs w:val="28"/>
        </w:rPr>
        <w:t xml:space="preserve">4 451 701,3</w:t>
      </w:r>
      <w:r>
        <w:rPr>
          <w:rFonts w:ascii="Times New Roman" w:hAnsi="Times New Roman"/>
          <w:sz w:val="28"/>
          <w:szCs w:val="28"/>
        </w:rPr>
        <w:t xml:space="preserve"> тыс. рублей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100,0</w:t>
      </w:r>
      <w:r>
        <w:rPr>
          <w:rFonts w:ascii="Times New Roman" w:hAnsi="Times New Roman"/>
          <w:sz w:val="28"/>
          <w:szCs w:val="28"/>
        </w:rPr>
        <w:t xml:space="preserve">% от утвержденных ассигнований, </w:t>
      </w:r>
      <w:r>
        <w:rPr>
          <w:rFonts w:ascii="Times New Roman" w:hAnsi="Times New Roman"/>
          <w:sz w:val="28"/>
          <w:szCs w:val="28"/>
        </w:rPr>
        <w:t xml:space="preserve">и в сравнении с расход</w:t>
      </w:r>
      <w:r>
        <w:rPr>
          <w:rFonts w:ascii="Times New Roman" w:hAnsi="Times New Roman"/>
          <w:sz w:val="28"/>
          <w:szCs w:val="28"/>
        </w:rPr>
        <w:t xml:space="preserve">ами</w:t>
      </w:r>
      <w:r>
        <w:rPr>
          <w:rFonts w:ascii="Times New Roman" w:hAnsi="Times New Roman"/>
          <w:sz w:val="28"/>
          <w:szCs w:val="28"/>
        </w:rPr>
        <w:t xml:space="preserve"> предыдуще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z w:val="28"/>
          <w:szCs w:val="28"/>
        </w:rPr>
        <w:t xml:space="preserve">финансового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увеличились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210 713,4 </w:t>
      </w:r>
      <w:r>
        <w:rPr>
          <w:rFonts w:ascii="Times New Roman" w:hAnsi="Times New Roman"/>
          <w:sz w:val="28"/>
          <w:szCs w:val="28"/>
        </w:rPr>
        <w:t xml:space="preserve">тыс. рублей или </w:t>
      </w:r>
      <w:r>
        <w:rPr>
          <w:rFonts w:ascii="Times New Roman" w:hAnsi="Times New Roman"/>
          <w:sz w:val="28"/>
          <w:szCs w:val="28"/>
        </w:rPr>
        <w:t xml:space="preserve">5,0</w:t>
      </w:r>
      <w:r>
        <w:rPr>
          <w:rFonts w:ascii="Times New Roman" w:hAnsi="Times New Roman"/>
          <w:sz w:val="28"/>
          <w:szCs w:val="28"/>
        </w:rPr>
        <w:t xml:space="preserve">%</w:t>
      </w:r>
      <w:r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 xml:space="preserve">обусловлено</w:t>
      </w:r>
      <w:r>
        <w:rPr>
          <w:rFonts w:ascii="Times New Roman" w:hAnsi="Times New Roman"/>
          <w:sz w:val="28"/>
          <w:szCs w:val="28"/>
        </w:rPr>
        <w:t xml:space="preserve"> увеличением объемов финансового обеспечения реализации Терр</w:t>
      </w:r>
      <w:r>
        <w:rPr>
          <w:rFonts w:ascii="Times New Roman" w:hAnsi="Times New Roman"/>
          <w:sz w:val="28"/>
          <w:szCs w:val="28"/>
        </w:rPr>
        <w:t xml:space="preserve">иториальной программы ОМС в 2025</w:t>
      </w:r>
      <w:r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За отчетный период расходы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непрограммны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е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направления деятельности органов управления территориальных государственных внебюджетных фондов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целом исполнены в сумме </w:t>
      </w:r>
      <w:r>
        <w:rPr>
          <w:rFonts w:ascii="Times New Roman" w:hAnsi="Times New Roman"/>
          <w:sz w:val="28"/>
          <w:szCs w:val="28"/>
        </w:rPr>
        <w:t xml:space="preserve">166 180,9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9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,3</w:t>
      </w:r>
      <w:r>
        <w:rPr>
          <w:rFonts w:ascii="Times New Roman" w:hAnsi="Times New Roman"/>
          <w:sz w:val="28"/>
          <w:szCs w:val="28"/>
        </w:rPr>
        <w:t xml:space="preserve">% от годовых бюджетных назначений, что </w:t>
      </w:r>
      <w:r>
        <w:rPr>
          <w:rFonts w:ascii="Times New Roman" w:hAnsi="Times New Roman"/>
          <w:sz w:val="28"/>
          <w:szCs w:val="28"/>
        </w:rPr>
        <w:t xml:space="preserve">бол</w:t>
      </w:r>
      <w:r>
        <w:rPr>
          <w:rFonts w:ascii="Times New Roman" w:hAnsi="Times New Roman"/>
          <w:sz w:val="28"/>
          <w:szCs w:val="28"/>
        </w:rPr>
        <w:t xml:space="preserve">ьше</w:t>
      </w:r>
      <w:r>
        <w:rPr>
          <w:rFonts w:ascii="Times New Roman" w:hAnsi="Times New Roman"/>
          <w:sz w:val="28"/>
          <w:szCs w:val="28"/>
        </w:rPr>
        <w:t xml:space="preserve"> аналогичных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расходов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предыдущий </w:t>
      </w:r>
      <w:r>
        <w:rPr>
          <w:rFonts w:ascii="Times New Roman" w:hAnsi="Times New Roman"/>
          <w:sz w:val="28"/>
          <w:szCs w:val="28"/>
        </w:rPr>
        <w:t xml:space="preserve">финансовый </w:t>
      </w:r>
      <w:r>
        <w:rPr>
          <w:rFonts w:ascii="Times New Roman" w:hAnsi="Times New Roman"/>
          <w:sz w:val="28"/>
          <w:szCs w:val="28"/>
        </w:rPr>
        <w:t xml:space="preserve">период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1 254,</w:t>
      </w:r>
      <w:r>
        <w:rPr>
          <w:rFonts w:ascii="Times New Roman" w:hAnsi="Times New Roman"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0,8</w:t>
      </w:r>
      <w:r>
        <w:rPr>
          <w:rFonts w:ascii="Times New Roman" w:hAnsi="Times New Roman"/>
          <w:sz w:val="28"/>
          <w:szCs w:val="28"/>
        </w:rPr>
        <w:t xml:space="preserve">%. 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по оплате счетов за лечение иногородних граждан </w:t>
      </w:r>
      <w:r>
        <w:rPr>
          <w:rFonts w:ascii="Times New Roman" w:hAnsi="Times New Roman"/>
          <w:sz w:val="28"/>
          <w:szCs w:val="28"/>
        </w:rPr>
        <w:t xml:space="preserve">в медицинских организациях Чукотского автономного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составили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117 519,6 </w:t>
      </w:r>
      <w:r>
        <w:rPr>
          <w:rFonts w:ascii="Times New Roman" w:hAnsi="Times New Roman"/>
          <w:sz w:val="28"/>
          <w:szCs w:val="28"/>
        </w:rPr>
        <w:t xml:space="preserve">тыс. рублей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100,0</w:t>
      </w:r>
      <w:r>
        <w:rPr>
          <w:rFonts w:ascii="Times New Roman" w:hAnsi="Times New Roman"/>
          <w:sz w:val="28"/>
          <w:szCs w:val="28"/>
        </w:rPr>
        <w:t xml:space="preserve">% от годовых бюджетных назначений</w:t>
      </w:r>
      <w:r>
        <w:rPr>
          <w:rFonts w:ascii="Times New Roman" w:hAnsi="Times New Roman"/>
          <w:sz w:val="28"/>
          <w:szCs w:val="28"/>
        </w:rPr>
        <w:t xml:space="preserve">, что</w:t>
      </w:r>
      <w:r>
        <w:rPr>
          <w:rFonts w:ascii="Times New Roman" w:hAnsi="Times New Roman"/>
          <w:sz w:val="28"/>
          <w:szCs w:val="28"/>
        </w:rPr>
        <w:t xml:space="preserve"> на 9 706,1 тыс. рублей </w:t>
      </w:r>
      <w:r>
        <w:rPr>
          <w:rFonts w:ascii="Times New Roman" w:hAnsi="Times New Roman"/>
          <w:sz w:val="28"/>
          <w:szCs w:val="28"/>
        </w:rPr>
        <w:t xml:space="preserve">меньше</w:t>
      </w:r>
      <w:r>
        <w:rPr>
          <w:rFonts w:ascii="Times New Roman" w:hAnsi="Times New Roman"/>
          <w:sz w:val="28"/>
          <w:szCs w:val="28"/>
        </w:rPr>
        <w:t xml:space="preserve"> аналогичных расходов </w:t>
      </w:r>
      <w:r>
        <w:rPr>
          <w:rFonts w:ascii="Times New Roman" w:hAnsi="Times New Roman"/>
          <w:sz w:val="28"/>
          <w:szCs w:val="28"/>
        </w:rPr>
        <w:t xml:space="preserve">прошлого финансового года.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финансовое обеспечение осуществления денежных выплат стимулирующего </w:t>
      </w:r>
      <w:r>
        <w:rPr>
          <w:rFonts w:ascii="Times New Roman" w:hAnsi="Times New Roman"/>
          <w:sz w:val="28"/>
          <w:szCs w:val="28"/>
        </w:rPr>
        <w:t xml:space="preserve">характера медицинским</w:t>
      </w:r>
      <w:r>
        <w:rPr>
          <w:rFonts w:ascii="Times New Roman" w:hAnsi="Times New Roman"/>
          <w:sz w:val="28"/>
          <w:szCs w:val="28"/>
        </w:rPr>
        <w:t xml:space="preserve"> работникам</w:t>
      </w:r>
      <w:r>
        <w:rPr>
          <w:rFonts w:ascii="Times New Roman" w:hAnsi="Times New Roman"/>
          <w:sz w:val="28"/>
          <w:szCs w:val="28"/>
        </w:rPr>
        <w:t xml:space="preserve"> за выявление онкологических заболеваний в ходе проведения диспансеризации и профилактических медиц</w:t>
      </w:r>
      <w:r>
        <w:rPr>
          <w:rFonts w:ascii="Times New Roman" w:hAnsi="Times New Roman"/>
          <w:sz w:val="28"/>
          <w:szCs w:val="28"/>
        </w:rPr>
        <w:t xml:space="preserve">инских осмотров населения в 2025 году направлено 5,4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/>
          <w:sz w:val="28"/>
          <w:szCs w:val="28"/>
        </w:rPr>
        <w:t xml:space="preserve">71,1</w:t>
      </w:r>
      <w:r>
        <w:rPr>
          <w:rFonts w:ascii="Times New Roman" w:hAnsi="Times New Roman"/>
          <w:sz w:val="28"/>
          <w:szCs w:val="28"/>
        </w:rPr>
        <w:t xml:space="preserve">%</w:t>
      </w:r>
      <w:r>
        <w:rPr>
          <w:rFonts w:ascii="Times New Roman" w:hAnsi="Times New Roman"/>
          <w:sz w:val="28"/>
          <w:szCs w:val="28"/>
        </w:rPr>
        <w:t xml:space="preserve"> от годовых бюджетных назначений</w:t>
      </w:r>
      <w:r>
        <w:rPr>
          <w:rFonts w:ascii="Times New Roman" w:hAnsi="Times New Roman"/>
          <w:sz w:val="28"/>
          <w:szCs w:val="28"/>
        </w:rPr>
        <w:t xml:space="preserve">, выявлен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один</w:t>
      </w:r>
      <w:r>
        <w:rPr>
          <w:rFonts w:ascii="Times New Roman" w:hAnsi="Times New Roman"/>
          <w:sz w:val="28"/>
          <w:szCs w:val="28"/>
        </w:rPr>
        <w:t xml:space="preserve"> случай онкологическ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заболевани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за счет средств НСЗ</w:t>
      </w:r>
      <w:r>
        <w:rPr>
          <w:rFonts w:ascii="Times New Roman" w:hAnsi="Times New Roman"/>
          <w:sz w:val="28"/>
          <w:szCs w:val="28"/>
        </w:rPr>
        <w:t xml:space="preserve"> в рамках непрогр</w:t>
      </w:r>
      <w:r>
        <w:rPr>
          <w:rFonts w:ascii="Times New Roman" w:hAnsi="Times New Roman"/>
          <w:sz w:val="28"/>
          <w:szCs w:val="28"/>
        </w:rPr>
        <w:t xml:space="preserve">аммных направлений деятельности</w:t>
      </w:r>
      <w:r>
        <w:rPr>
          <w:rFonts w:ascii="Times New Roman" w:hAnsi="Times New Roman"/>
          <w:sz w:val="28"/>
          <w:szCs w:val="28"/>
        </w:rPr>
        <w:t xml:space="preserve"> исполнены в сумме </w:t>
      </w:r>
      <w:r>
        <w:rPr>
          <w:rFonts w:ascii="Times New Roman" w:hAnsi="Times New Roman"/>
          <w:sz w:val="28"/>
          <w:szCs w:val="28"/>
        </w:rPr>
        <w:t xml:space="preserve">48 655,9 </w:t>
      </w:r>
      <w:r>
        <w:rPr>
          <w:rFonts w:ascii="Times New Roman" w:hAnsi="Times New Roman"/>
          <w:sz w:val="28"/>
          <w:szCs w:val="28"/>
        </w:rPr>
        <w:t xml:space="preserve">тыс. рублей или </w:t>
      </w:r>
      <w:r>
        <w:rPr>
          <w:rFonts w:ascii="Times New Roman" w:hAnsi="Times New Roman"/>
          <w:sz w:val="28"/>
          <w:szCs w:val="28"/>
        </w:rPr>
        <w:t xml:space="preserve">80,4</w:t>
      </w:r>
      <w:r>
        <w:rPr>
          <w:rFonts w:ascii="Times New Roman" w:hAnsi="Times New Roman"/>
          <w:sz w:val="28"/>
          <w:szCs w:val="28"/>
        </w:rPr>
        <w:t xml:space="preserve">% от бюджетных назначений, </w:t>
      </w:r>
      <w:r>
        <w:rPr>
          <w:rFonts w:ascii="Times New Roman" w:hAnsi="Times New Roman"/>
          <w:sz w:val="28"/>
          <w:szCs w:val="28"/>
        </w:rPr>
        <w:t xml:space="preserve">что на </w:t>
      </w:r>
      <w:r>
        <w:rPr>
          <w:rFonts w:ascii="Times New Roman" w:hAnsi="Times New Roman"/>
          <w:sz w:val="28"/>
          <w:szCs w:val="28"/>
        </w:rPr>
        <w:t xml:space="preserve">10 960,6 </w:t>
      </w:r>
      <w:r>
        <w:rPr>
          <w:rFonts w:ascii="Times New Roman" w:hAnsi="Times New Roman"/>
          <w:sz w:val="28"/>
          <w:szCs w:val="28"/>
        </w:rPr>
        <w:t xml:space="preserve">тыс. рублей или </w:t>
      </w:r>
      <w:r>
        <w:rPr>
          <w:rFonts w:ascii="Times New Roman" w:hAnsi="Times New Roman"/>
          <w:sz w:val="28"/>
          <w:szCs w:val="28"/>
        </w:rPr>
        <w:t xml:space="preserve">29,1%</w:t>
      </w:r>
      <w:r>
        <w:rPr>
          <w:rFonts w:ascii="Times New Roman" w:hAnsi="Times New Roman"/>
          <w:sz w:val="28"/>
          <w:szCs w:val="28"/>
        </w:rPr>
        <w:t xml:space="preserve"> больше аналогичных расходов </w:t>
      </w:r>
      <w:r>
        <w:rPr>
          <w:rFonts w:ascii="Times New Roman" w:hAnsi="Times New Roman"/>
          <w:sz w:val="28"/>
          <w:szCs w:val="28"/>
        </w:rPr>
        <w:t xml:space="preserve">2024</w:t>
      </w:r>
      <w:r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а, в том числе: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софинансирование</w:t>
      </w:r>
      <w:r>
        <w:rPr>
          <w:rFonts w:ascii="Times New Roman" w:hAnsi="Times New Roman"/>
          <w:sz w:val="28"/>
          <w:szCs w:val="28"/>
        </w:rPr>
        <w:t xml:space="preserve"> расходов медицинских организаций на оплату труда врачей и среднего медицинского </w:t>
      </w:r>
      <w:r>
        <w:rPr>
          <w:rFonts w:ascii="Times New Roman" w:hAnsi="Times New Roman"/>
          <w:sz w:val="28"/>
          <w:szCs w:val="28"/>
        </w:rPr>
        <w:t xml:space="preserve">персонала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принятых на работу в текущем финансовом году сверх численности медицинских работников в медицинских организациях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по состоянию на 1 января 202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- </w:t>
      </w:r>
      <w:r>
        <w:rPr>
          <w:rFonts w:ascii="Times New Roman" w:hAnsi="Times New Roman"/>
          <w:sz w:val="28"/>
          <w:szCs w:val="28"/>
        </w:rPr>
        <w:t xml:space="preserve">29 </w:t>
      </w:r>
      <w:r>
        <w:rPr>
          <w:rFonts w:ascii="Times New Roman" w:hAnsi="Times New Roman"/>
          <w:sz w:val="28"/>
          <w:szCs w:val="28"/>
        </w:rPr>
        <w:t xml:space="preserve">508,3 </w:t>
      </w:r>
      <w:r>
        <w:rPr>
          <w:rFonts w:ascii="Times New Roman" w:hAnsi="Times New Roman"/>
          <w:sz w:val="28"/>
          <w:szCs w:val="28"/>
        </w:rPr>
        <w:t xml:space="preserve">тыс. рублей или </w:t>
      </w:r>
      <w:r>
        <w:rPr>
          <w:rFonts w:ascii="Times New Roman" w:hAnsi="Times New Roman"/>
          <w:sz w:val="28"/>
          <w:szCs w:val="28"/>
        </w:rPr>
        <w:t xml:space="preserve">98,8</w:t>
      </w:r>
      <w:r>
        <w:rPr>
          <w:rFonts w:ascii="Times New Roman" w:hAnsi="Times New Roman"/>
          <w:sz w:val="28"/>
          <w:szCs w:val="28"/>
        </w:rPr>
        <w:t xml:space="preserve">% утвержденных ассигнований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202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году численность врачей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увеличилась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на 1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человек, численность среднего медперсонала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(нарастающим итогом);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финансовое обеспечение мероприятий по приобретению медицинского оборудования - 15 121,7 тыс. рублей или </w:t>
      </w:r>
      <w:r>
        <w:rPr>
          <w:rFonts w:ascii="Times New Roman" w:hAnsi="Times New Roman"/>
          <w:sz w:val="28"/>
          <w:szCs w:val="28"/>
        </w:rPr>
        <w:t xml:space="preserve">57,3</w:t>
      </w:r>
      <w:r>
        <w:rPr>
          <w:rFonts w:ascii="Times New Roman" w:hAnsi="Times New Roman"/>
          <w:sz w:val="28"/>
          <w:szCs w:val="28"/>
        </w:rPr>
        <w:t xml:space="preserve">% от утвержденных ассигнований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ГБУЗ «Чукотская окружная больница» в рамках мероприятия приобретено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 единиц оборудования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Неисполнение бюджетных назначений в </w:t>
      </w:r>
      <w:r>
        <w:rPr>
          <w:rFonts w:ascii="Times New Roman" w:hAnsi="Times New Roman"/>
          <w:sz w:val="28"/>
          <w:szCs w:val="28"/>
        </w:rPr>
        <w:t xml:space="preserve">общей </w:t>
      </w:r>
      <w:r>
        <w:rPr>
          <w:rFonts w:ascii="Times New Roman" w:hAnsi="Times New Roman"/>
          <w:sz w:val="28"/>
          <w:szCs w:val="28"/>
        </w:rPr>
        <w:t xml:space="preserve">сумме </w:t>
      </w:r>
      <w:r>
        <w:rPr>
          <w:rFonts w:ascii="Times New Roman" w:hAnsi="Times New Roman"/>
          <w:sz w:val="28"/>
          <w:szCs w:val="28"/>
        </w:rPr>
        <w:t xml:space="preserve">11 264,9</w:t>
      </w:r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 xml:space="preserve">ыс. рублей связано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неиспользованием бюджетных средств на сумму 9 791,7 тыс. рублей, а также </w:t>
      </w:r>
      <w:r>
        <w:rPr>
          <w:rFonts w:ascii="Times New Roman" w:hAnsi="Times New Roman"/>
          <w:sz w:val="28"/>
          <w:szCs w:val="28"/>
        </w:rPr>
        <w:t xml:space="preserve">экономией средств при проведении учреждением конкурсных процедур</w:t>
      </w:r>
      <w:r>
        <w:rPr>
          <w:rFonts w:ascii="Times New Roman" w:hAnsi="Times New Roman"/>
          <w:sz w:val="28"/>
          <w:szCs w:val="28"/>
        </w:rPr>
        <w:t xml:space="preserve"> в сумме 1 473,2 тыс. 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НСЗ, поступившие в бюджет Фонда от штрафных санкций, </w:t>
      </w:r>
      <w:r>
        <w:rPr>
          <w:rFonts w:ascii="Times New Roman" w:hAnsi="Times New Roman"/>
          <w:sz w:val="28"/>
          <w:szCs w:val="28"/>
        </w:rPr>
        <w:t xml:space="preserve">направленные</w:t>
      </w:r>
      <w:r>
        <w:rPr>
          <w:rFonts w:ascii="Times New Roman" w:hAnsi="Times New Roman"/>
          <w:sz w:val="28"/>
          <w:szCs w:val="28"/>
        </w:rPr>
        <w:t xml:space="preserve"> на оплату медицинской помощи, оказанной за пределами Чукотского автономного округа лицам, застрахованным на территории региона 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4 025,9 </w:t>
      </w:r>
      <w:r>
        <w:rPr>
          <w:rFonts w:ascii="Times New Roman" w:hAnsi="Times New Roman"/>
          <w:sz w:val="28"/>
          <w:szCs w:val="28"/>
        </w:rPr>
        <w:t xml:space="preserve">тыс. рублей или </w:t>
      </w:r>
      <w:r>
        <w:rPr>
          <w:rFonts w:ascii="Times New Roman" w:hAnsi="Times New Roman"/>
          <w:sz w:val="28"/>
          <w:szCs w:val="28"/>
        </w:rPr>
        <w:t xml:space="preserve">93,8</w:t>
      </w:r>
      <w:r>
        <w:rPr>
          <w:rFonts w:ascii="Times New Roman" w:hAnsi="Times New Roman"/>
          <w:sz w:val="28"/>
          <w:szCs w:val="28"/>
        </w:rPr>
        <w:t xml:space="preserve">% утвержденных ассигнований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ведение дела СМО 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направлены средства в сумме </w:t>
      </w:r>
      <w:r>
        <w:rPr>
          <w:rFonts w:ascii="Times New Roman" w:hAnsi="Times New Roman"/>
          <w:sz w:val="28"/>
          <w:szCs w:val="28"/>
        </w:rPr>
        <w:t xml:space="preserve">35 892,3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сформированные в размере 0,83% от объема средств, направленных на оплату медицинской помощи, оказанной на территории Чукотского автономного округа, что не превышает норматив</w:t>
      </w:r>
      <w:r>
        <w:rPr>
          <w:rFonts w:ascii="Times New Roman" w:hAnsi="Times New Roman"/>
          <w:sz w:val="28"/>
          <w:szCs w:val="28"/>
        </w:rPr>
        <w:t xml:space="preserve"> расходов, установленный Законом о бюджете Фонда на вышеуказанные цели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договору о финансовом обеспечении</w:t>
      </w:r>
      <w:r>
        <w:rPr>
          <w:rFonts w:ascii="Times New Roman" w:hAnsi="Times New Roman"/>
          <w:sz w:val="28"/>
          <w:szCs w:val="28"/>
        </w:rPr>
        <w:t xml:space="preserve"> обязательного медицинского страхования, заключенному между Фондом и СМО, окончательный расчет за оказанную медицинскую помощь осуществляется в месяце, следующим за месяцем, в котором она была оказана, то есть за медицинскую помощь, оказанную в декабре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года, оплата произведена в январе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года, за медицинскую помощь, оказанную в декабре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года – в январе 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372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Style w:val="4578"/>
          <w:b/>
          <w:sz w:val="28"/>
          <w:szCs w:val="28"/>
        </w:rPr>
        <w:t xml:space="preserve">Исполнение </w:t>
      </w:r>
      <w:r>
        <w:rPr>
          <w:rFonts w:ascii="Times New Roman" w:hAnsi="Times New Roman"/>
          <w:b/>
          <w:sz w:val="28"/>
          <w:szCs w:val="28"/>
        </w:rPr>
        <w:t xml:space="preserve">Территориальной программы государственных гарантий бесплатного оказания гражданам медицинской помощи в Чукотском автономном округе в 202</w:t>
      </w: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b/>
          <w:sz w:val="28"/>
          <w:szCs w:val="28"/>
        </w:rPr>
        <w:t xml:space="preserve"> году в части Территориальной программы ОМС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</w:t>
      </w:r>
      <w:r>
        <w:rPr>
          <w:rFonts w:ascii="Times New Roman" w:hAnsi="Times New Roman"/>
          <w:sz w:val="28"/>
          <w:szCs w:val="28"/>
        </w:rPr>
        <w:t xml:space="preserve"> направлением расходов</w:t>
      </w:r>
      <w:r>
        <w:rPr>
          <w:rFonts w:ascii="Times New Roman" w:hAnsi="Times New Roman"/>
          <w:sz w:val="28"/>
          <w:szCs w:val="28"/>
        </w:rPr>
        <w:t xml:space="preserve"> средств бюджета Фонда явля</w:t>
      </w:r>
      <w:r>
        <w:rPr>
          <w:rFonts w:ascii="Times New Roman" w:hAnsi="Times New Roman"/>
          <w:sz w:val="28"/>
          <w:szCs w:val="28"/>
        </w:rPr>
        <w:t xml:space="preserve">ется </w:t>
      </w:r>
      <w:r>
        <w:rPr>
          <w:rFonts w:ascii="Times New Roman" w:hAnsi="Times New Roman"/>
          <w:sz w:val="28"/>
          <w:szCs w:val="28"/>
        </w:rPr>
        <w:t xml:space="preserve">финансовое обеспечение организации ОМС на территории </w:t>
      </w:r>
      <w:r>
        <w:rPr>
          <w:rFonts w:ascii="Times New Roman" w:hAnsi="Times New Roman"/>
          <w:sz w:val="28"/>
          <w:szCs w:val="28"/>
        </w:rPr>
        <w:t xml:space="preserve">Чукотского автономного </w:t>
      </w:r>
      <w:r>
        <w:rPr>
          <w:rFonts w:ascii="Times New Roman" w:hAnsi="Times New Roman"/>
          <w:sz w:val="28"/>
          <w:szCs w:val="28"/>
        </w:rPr>
        <w:t xml:space="preserve">округа в рамках Тер</w:t>
      </w:r>
      <w:r>
        <w:rPr>
          <w:rFonts w:ascii="Times New Roman" w:hAnsi="Times New Roman"/>
          <w:sz w:val="28"/>
          <w:szCs w:val="28"/>
        </w:rPr>
        <w:t xml:space="preserve">риториальной </w:t>
      </w:r>
      <w:r>
        <w:rPr>
          <w:rFonts w:ascii="Times New Roman" w:hAnsi="Times New Roman"/>
          <w:sz w:val="28"/>
          <w:szCs w:val="28"/>
        </w:rPr>
        <w:t xml:space="preserve">программы ОМС.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Финансирование Территориальной программы ОМС осуществлялось Фондом через страховую медицинскую организацию. 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1 января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года в региональном сегменте единого регистра застрахованных лиц Чукотского автономного округа числились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45 </w:t>
      </w:r>
      <w:r>
        <w:rPr>
          <w:rFonts w:ascii="Times New Roman" w:hAnsi="Times New Roman"/>
          <w:sz w:val="28"/>
          <w:szCs w:val="28"/>
        </w:rPr>
        <w:t xml:space="preserve">18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, в том числе по группам застрахованных лиц: работающие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23 127</w:t>
      </w:r>
      <w:r>
        <w:rPr>
          <w:rFonts w:ascii="Times New Roman" w:hAnsi="Times New Roman"/>
          <w:sz w:val="28"/>
          <w:szCs w:val="28"/>
        </w:rPr>
        <w:t xml:space="preserve"> человек; неработающие – </w:t>
      </w:r>
      <w:r>
        <w:rPr>
          <w:rFonts w:ascii="Times New Roman" w:hAnsi="Times New Roman"/>
          <w:sz w:val="28"/>
          <w:szCs w:val="28"/>
        </w:rPr>
        <w:t xml:space="preserve">22 055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показателям ТПГГ, стоимость Тер</w:t>
      </w:r>
      <w:r>
        <w:rPr>
          <w:rFonts w:ascii="Times New Roman" w:hAnsi="Times New Roman"/>
          <w:sz w:val="28"/>
          <w:szCs w:val="28"/>
        </w:rPr>
        <w:t xml:space="preserve">риториальной </w:t>
      </w:r>
      <w:r>
        <w:rPr>
          <w:rFonts w:ascii="Times New Roman" w:hAnsi="Times New Roman"/>
          <w:sz w:val="28"/>
          <w:szCs w:val="28"/>
        </w:rPr>
        <w:t xml:space="preserve">программы ОМС на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 утверждена в </w:t>
      </w:r>
      <w:r>
        <w:rPr>
          <w:rFonts w:ascii="Times New Roman" w:hAnsi="Times New Roman"/>
          <w:sz w:val="28"/>
          <w:szCs w:val="28"/>
        </w:rPr>
        <w:t xml:space="preserve">объеме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4 450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974,5</w:t>
      </w:r>
      <w:r>
        <w:rPr>
          <w:rFonts w:ascii="Times New Roman" w:hAnsi="Times New Roman"/>
          <w:sz w:val="28"/>
          <w:szCs w:val="28"/>
        </w:rPr>
        <w:t xml:space="preserve"> тыс. рублей</w:t>
      </w:r>
      <w:r>
        <w:rPr>
          <w:rFonts w:ascii="Times New Roman" w:hAnsi="Times New Roman"/>
          <w:sz w:val="28"/>
          <w:szCs w:val="28"/>
        </w:rPr>
        <w:t xml:space="preserve"> (включены только расходы, финансовое обеспечение которых предусмотрено в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году ТПГГ, утвержденной Постановлением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531</w:t>
      </w:r>
      <w:r>
        <w:rPr>
          <w:rFonts w:ascii="Times New Roman" w:hAnsi="Times New Roman"/>
          <w:sz w:val="28"/>
          <w:szCs w:val="28"/>
        </w:rPr>
        <w:t xml:space="preserve">).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Исполнение Тер</w:t>
      </w:r>
      <w:r>
        <w:rPr>
          <w:rFonts w:ascii="Times New Roman" w:hAnsi="Times New Roman"/>
          <w:sz w:val="28"/>
          <w:szCs w:val="28"/>
        </w:rPr>
        <w:t xml:space="preserve">риториальной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ОМС</w:t>
      </w:r>
      <w:r>
        <w:rPr>
          <w:rFonts w:ascii="Times New Roman" w:hAnsi="Times New Roman"/>
          <w:sz w:val="28"/>
          <w:szCs w:val="28"/>
        </w:rPr>
        <w:t xml:space="preserve">, без учета подтвержденного остатка субвенции из ФФОМС за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 в объеме </w:t>
      </w:r>
      <w:r>
        <w:rPr>
          <w:rFonts w:ascii="Times New Roman" w:hAnsi="Times New Roman"/>
          <w:sz w:val="28"/>
          <w:szCs w:val="28"/>
        </w:rPr>
        <w:t xml:space="preserve">2 364,3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составило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4 449 337,0</w:t>
      </w:r>
      <w:r>
        <w:rPr>
          <w:rFonts w:ascii="Times New Roman" w:hAnsi="Times New Roman"/>
          <w:sz w:val="28"/>
          <w:szCs w:val="28"/>
        </w:rPr>
        <w:t xml:space="preserve"> тыс. рублей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99,9</w:t>
      </w:r>
      <w:r>
        <w:rPr>
          <w:rFonts w:ascii="Times New Roman" w:hAnsi="Times New Roman"/>
          <w:sz w:val="28"/>
          <w:szCs w:val="28"/>
        </w:rPr>
        <w:t xml:space="preserve">% от утвержденного объема по следующим направлениям расходов: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медицинскую помощь, оказанную в медицинских</w:t>
      </w:r>
      <w:r>
        <w:rPr>
          <w:rFonts w:ascii="Times New Roman" w:hAnsi="Times New Roman"/>
          <w:sz w:val="28"/>
          <w:szCs w:val="28"/>
        </w:rPr>
        <w:t xml:space="preserve"> организациях Чукотского автономного округа гражданам, застрахованным на территории Чукотского автономного округа (подтвержденная реестрами счетов с учетом контрольно-экспертных мероприятий качества оказания медицинской помощи за январь-декабрь  2024 года)</w:t>
      </w:r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4 032 748,3 </w:t>
      </w:r>
      <w:r>
        <w:rPr>
          <w:rFonts w:ascii="Times New Roman" w:hAnsi="Times New Roman"/>
          <w:sz w:val="28"/>
          <w:szCs w:val="28"/>
        </w:rPr>
        <w:t xml:space="preserve">тыс. 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направленные СМО в медицинские организации в порядке авансирования за декабрь 2025 года, не подтвержденные на конец отчетного периода счетами медицинских организаций на оплату медицинской помощи</w:t>
      </w:r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291 559,5 </w:t>
      </w:r>
      <w:r>
        <w:rPr>
          <w:rFonts w:ascii="Times New Roman" w:hAnsi="Times New Roman"/>
          <w:sz w:val="28"/>
          <w:szCs w:val="28"/>
        </w:rPr>
        <w:t xml:space="preserve">тыс. рублей;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медицинскую помощь, оказанную гражданам Чукотского автономного округа в медицинских организациях других субъектов Российской Федерации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89 136,9   тыс. рублей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получили медицинскую помощь 13 897 человек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;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  <w:tab w:val="left" w:pos="851" w:leader="none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содержание страховой медицинской организации (с учетом окончательного расчета за 2024 год в январе 2025 года в сумме 779,2 тыс. рублей)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35 892,3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тыс. рублей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Start w:id="0" w:name="undefined"/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Анализ выполнения </w:t>
      </w:r>
      <w:r>
        <w:rPr>
          <w:rFonts w:ascii="Times New Roman" w:hAnsi="Times New Roman"/>
          <w:sz w:val="28"/>
          <w:szCs w:val="28"/>
        </w:rPr>
        <w:t xml:space="preserve">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плановых показателей Территориальной программы ОМС по видам медицинской помощи проведен по данным Отчета о выполнении Территориальной программы ОМС и приведен в таблице № 5.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Таблица № 5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3175"/>
        <w:gridCol w:w="1077"/>
        <w:gridCol w:w="1077"/>
        <w:gridCol w:w="1076"/>
        <w:gridCol w:w="965"/>
        <w:gridCol w:w="1134"/>
        <w:gridCol w:w="1417"/>
      </w:tblGrid>
      <w:tr>
        <w:tblPrEx/>
        <w:trPr>
          <w:trHeight w:val="90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Виды медицинской помощи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48" w:right="-1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Единица измерения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Исполнено в 20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году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Утверждено на 202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Исполнено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в 202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году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9" w:right="-123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Исполне-ние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, % (гр.5/гр.4)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54" w:right="-84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Соо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тноше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ние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ом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, % (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гр.5/гр.3-100)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>
          <w:trHeight w:val="24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48" w:right="-1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09" w:right="-123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Скорая медицинская помощь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48" w:right="-1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вызов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6 740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13 102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7 063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53,9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>
          <w:trHeight w:val="45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Амбулаторно-поликлиническая помощь с профилактической целью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48" w:right="-1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посещение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193 528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187 805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202 251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107,7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>
          <w:trHeight w:val="45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Амбулаторно-поликлиническая помощь в неотложной форме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48" w:right="-1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посещение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15 423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24 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val="en-US" w:eastAsia="ru-RU"/>
              </w:rPr>
              <w:t xml:space="preserve">398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13 807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56,6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-10,5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>
          <w:trHeight w:val="45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Амбулаторно-поликлиническая помощь по заболеванию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48" w:right="-1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обращение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46 331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val="en-US" w:eastAsia="ru-RU"/>
              </w:rPr>
              <w:t xml:space="preserve">6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1 989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51 991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83,9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12,2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>
          <w:trHeight w:val="48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Стационарная медицинская помощь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48" w:right="-1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случай госпитали-       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зации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9 307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8 853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8 925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100,8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-4,1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>
          <w:trHeight w:val="48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Стационарно-замещающая медицинская помощь (дневной стационар)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48" w:right="-1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случай лечения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447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3 346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520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15,5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16,3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>
          <w:trHeight w:val="45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Паллиативная помощь в стационарных условиях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48" w:right="-162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к/день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ind w:left="-129" w:right="-3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191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val="en-US" w:eastAsia="ru-RU"/>
              </w:rPr>
              <w:t xml:space="preserve">157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 CYR" w:hAnsi="Times New Roman CYR" w:eastAsia="Times New Roman" w:cs="Times New Roman CYR"/>
                <w:sz w:val="18"/>
                <w:szCs w:val="18"/>
              </w:rPr>
            </w:pP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val="en-US" w:eastAsia="ru-RU"/>
              </w:rPr>
              <w:t xml:space="preserve">19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  <w:lang w:eastAsia="ru-RU"/>
              </w:rPr>
              <w:t xml:space="preserve">6</w:t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  <w:r>
              <w:rPr>
                <w:rFonts w:ascii="Times New Roman CYR" w:hAnsi="Times New Roman CYR" w:eastAsia="Times New Roman" w:cs="Times New Roman CYR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16" w:right="-6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</w:tbl>
    <w:p>
      <w:pPr>
        <w:jc w:val="right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По результатам анализа исполнения Территориальной программы ОМС установлено, </w:t>
      </w:r>
      <w:r>
        <w:rPr>
          <w:rFonts w:ascii="Times New Roman" w:hAnsi="Times New Roman"/>
          <w:sz w:val="28"/>
          <w:szCs w:val="28"/>
        </w:rPr>
        <w:t xml:space="preserve">что </w:t>
      </w:r>
      <w:r>
        <w:rPr>
          <w:rFonts w:ascii="Times New Roman" w:hAnsi="Times New Roman"/>
          <w:sz w:val="28"/>
          <w:szCs w:val="28"/>
        </w:rPr>
        <w:t xml:space="preserve">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отмечается </w:t>
      </w:r>
      <w:r>
        <w:rPr>
          <w:rFonts w:ascii="Times New Roman" w:hAnsi="Times New Roman"/>
          <w:sz w:val="28"/>
          <w:szCs w:val="28"/>
        </w:rPr>
        <w:t xml:space="preserve">увеличение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объемов фактически </w:t>
      </w:r>
      <w:r>
        <w:rPr>
          <w:rFonts w:ascii="Times New Roman" w:hAnsi="Times New Roman"/>
          <w:sz w:val="28"/>
          <w:szCs w:val="28"/>
        </w:rPr>
        <w:t xml:space="preserve">оказанной </w:t>
      </w:r>
      <w:r>
        <w:rPr>
          <w:rFonts w:ascii="Times New Roman" w:hAnsi="Times New Roman"/>
          <w:sz w:val="28"/>
          <w:szCs w:val="28"/>
        </w:rPr>
        <w:t xml:space="preserve">медицинской помощи в рамках Территориальной программы ОМС практически по всем видам медицинской помощи, за исключением амбулаторно-поликлинической в неотложной форме</w:t>
      </w:r>
      <w:r>
        <w:rPr>
          <w:rFonts w:ascii="Times New Roman" w:hAnsi="Times New Roman"/>
          <w:sz w:val="28"/>
          <w:szCs w:val="28"/>
        </w:rPr>
        <w:t xml:space="preserve"> и стационарной медицинской помощи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</w:t>
      </w:r>
      <w:r>
        <w:rPr>
          <w:rFonts w:ascii="Times New Roman" w:hAnsi="Times New Roman"/>
          <w:sz w:val="28"/>
          <w:szCs w:val="28"/>
        </w:rPr>
        <w:t xml:space="preserve"> фактическая с</w:t>
      </w:r>
      <w:r>
        <w:rPr>
          <w:rFonts w:ascii="Times New Roman" w:hAnsi="Times New Roman"/>
          <w:sz w:val="28"/>
          <w:szCs w:val="28"/>
        </w:rPr>
        <w:t xml:space="preserve">тоимость единицы медицинской помощи, оказанной 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и нормативы затрат, предусмотренные ТПГГ</w:t>
      </w:r>
      <w:r>
        <w:rPr>
          <w:rFonts w:ascii="Times New Roman" w:hAnsi="Times New Roman"/>
          <w:sz w:val="28"/>
          <w:szCs w:val="28"/>
        </w:rPr>
        <w:t xml:space="preserve">, составил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</w:t>
      </w:r>
      <w:r>
        <w:rPr>
          <w:rFonts w:ascii="Times New Roman" w:hAnsi="Times New Roman"/>
          <w:sz w:val="28"/>
          <w:szCs w:val="28"/>
        </w:rPr>
        <w:t xml:space="preserve">го</w:t>
      </w:r>
      <w:r>
        <w:rPr>
          <w:rFonts w:ascii="Times New Roman" w:hAnsi="Times New Roman"/>
          <w:sz w:val="28"/>
          <w:szCs w:val="28"/>
        </w:rPr>
        <w:t xml:space="preserve"> вызова скорой помощи – </w:t>
      </w:r>
      <w:r>
        <w:rPr>
          <w:rFonts w:ascii="Times New Roman" w:hAnsi="Times New Roman"/>
          <w:sz w:val="28"/>
          <w:szCs w:val="28"/>
        </w:rPr>
        <w:t xml:space="preserve">33,1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 xml:space="preserve">лей при нормативе затрат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18,3 </w:t>
      </w:r>
      <w:r>
        <w:rPr>
          <w:rFonts w:ascii="Times New Roman" w:hAnsi="Times New Roman"/>
          <w:sz w:val="28"/>
          <w:szCs w:val="28"/>
        </w:rPr>
        <w:t xml:space="preserve">тыс. 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</w:t>
      </w:r>
      <w:r>
        <w:rPr>
          <w:rFonts w:ascii="Times New Roman" w:hAnsi="Times New Roman"/>
          <w:sz w:val="28"/>
          <w:szCs w:val="28"/>
        </w:rPr>
        <w:t xml:space="preserve">го</w:t>
      </w:r>
      <w:r>
        <w:rPr>
          <w:rFonts w:ascii="Times New Roman" w:hAnsi="Times New Roman"/>
          <w:sz w:val="28"/>
          <w:szCs w:val="28"/>
        </w:rPr>
        <w:t xml:space="preserve"> посещения с профилактической целью в амбулаторно-поликлиническом учреждении – </w:t>
      </w:r>
      <w:r>
        <w:rPr>
          <w:rFonts w:ascii="Times New Roman" w:hAnsi="Times New Roman"/>
          <w:sz w:val="28"/>
          <w:szCs w:val="28"/>
        </w:rPr>
        <w:t xml:space="preserve">5,1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нормативе затрат </w:t>
      </w:r>
      <w:r>
        <w:rPr>
          <w:rFonts w:ascii="Times New Roman" w:hAnsi="Times New Roman"/>
          <w:sz w:val="28"/>
          <w:szCs w:val="28"/>
        </w:rPr>
        <w:t xml:space="preserve">5,3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</w:t>
      </w:r>
      <w:r>
        <w:rPr>
          <w:rFonts w:ascii="Times New Roman" w:hAnsi="Times New Roman"/>
          <w:sz w:val="28"/>
          <w:szCs w:val="28"/>
        </w:rPr>
        <w:t xml:space="preserve">го</w:t>
      </w:r>
      <w:r>
        <w:rPr>
          <w:rFonts w:ascii="Times New Roman" w:hAnsi="Times New Roman"/>
          <w:sz w:val="28"/>
          <w:szCs w:val="28"/>
        </w:rPr>
        <w:t xml:space="preserve"> посещения в неотложной форме в амбулаторно-поликлиническом учреждении – </w:t>
      </w:r>
      <w:r>
        <w:rPr>
          <w:rFonts w:ascii="Times New Roman" w:hAnsi="Times New Roman"/>
          <w:sz w:val="28"/>
          <w:szCs w:val="28"/>
        </w:rPr>
        <w:t xml:space="preserve">5,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 при нормативе затрат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4,2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</w:t>
      </w:r>
      <w:r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</w:t>
      </w:r>
      <w:r>
        <w:rPr>
          <w:rFonts w:ascii="Times New Roman" w:hAnsi="Times New Roman"/>
          <w:sz w:val="28"/>
          <w:szCs w:val="28"/>
        </w:rPr>
        <w:t xml:space="preserve">го</w:t>
      </w:r>
      <w:r>
        <w:rPr>
          <w:rFonts w:ascii="Times New Roman" w:hAnsi="Times New Roman"/>
          <w:sz w:val="28"/>
          <w:szCs w:val="28"/>
        </w:rPr>
        <w:t xml:space="preserve"> обращения в связи с заболеванием в амбулаторно-поликлиническом учреждении – </w:t>
      </w:r>
      <w:r>
        <w:rPr>
          <w:rFonts w:ascii="Times New Roman" w:hAnsi="Times New Roman"/>
          <w:sz w:val="28"/>
          <w:szCs w:val="28"/>
        </w:rPr>
        <w:t xml:space="preserve">10,5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нормативе затрат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10,4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</w:t>
      </w:r>
      <w:r>
        <w:rPr>
          <w:rFonts w:ascii="Times New Roman" w:hAnsi="Times New Roman"/>
          <w:sz w:val="28"/>
          <w:szCs w:val="28"/>
        </w:rPr>
        <w:t xml:space="preserve">го</w:t>
      </w:r>
      <w:r>
        <w:rPr>
          <w:rFonts w:ascii="Times New Roman" w:hAnsi="Times New Roman"/>
          <w:sz w:val="28"/>
          <w:szCs w:val="28"/>
        </w:rPr>
        <w:t xml:space="preserve"> случая госпитализации в стационаре – </w:t>
      </w:r>
      <w:r>
        <w:rPr>
          <w:rFonts w:ascii="Times New Roman" w:hAnsi="Times New Roman"/>
          <w:sz w:val="28"/>
          <w:szCs w:val="28"/>
        </w:rPr>
        <w:t xml:space="preserve">258,3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нормативе затрат </w:t>
      </w:r>
      <w:r>
        <w:rPr>
          <w:rFonts w:ascii="Times New Roman" w:hAnsi="Times New Roman"/>
          <w:sz w:val="28"/>
          <w:szCs w:val="28"/>
        </w:rPr>
        <w:t xml:space="preserve">224,6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</w:t>
      </w:r>
      <w:r>
        <w:rPr>
          <w:rFonts w:ascii="Times New Roman" w:hAnsi="Times New Roman"/>
          <w:sz w:val="28"/>
          <w:szCs w:val="28"/>
        </w:rPr>
        <w:t xml:space="preserve">го</w:t>
      </w:r>
      <w:r>
        <w:rPr>
          <w:rFonts w:ascii="Times New Roman" w:hAnsi="Times New Roman"/>
          <w:sz w:val="28"/>
          <w:szCs w:val="28"/>
        </w:rPr>
        <w:t xml:space="preserve"> случая лечения в дневном стационаре – </w:t>
      </w:r>
      <w:r>
        <w:rPr>
          <w:rFonts w:ascii="Times New Roman" w:hAnsi="Times New Roman"/>
          <w:sz w:val="28"/>
          <w:szCs w:val="28"/>
        </w:rPr>
        <w:t xml:space="preserve">136,9</w:t>
      </w:r>
      <w:r>
        <w:rPr>
          <w:rFonts w:ascii="Times New Roman" w:hAnsi="Times New Roman"/>
          <w:sz w:val="28"/>
          <w:szCs w:val="28"/>
        </w:rPr>
        <w:t xml:space="preserve"> тыс. </w:t>
      </w:r>
      <w:r>
        <w:rPr>
          <w:rFonts w:ascii="Times New Roman" w:hAnsi="Times New Roman"/>
          <w:sz w:val="28"/>
          <w:szCs w:val="28"/>
        </w:rPr>
        <w:t xml:space="preserve">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нормативе затрат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116,5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z w:val="28"/>
          <w:szCs w:val="28"/>
        </w:rPr>
        <w:t xml:space="preserve">к</w:t>
      </w:r>
      <w:r>
        <w:rPr>
          <w:rFonts w:ascii="Times New Roman" w:hAnsi="Times New Roman"/>
          <w:sz w:val="28"/>
          <w:szCs w:val="28"/>
        </w:rPr>
        <w:t xml:space="preserve">ойко</w:t>
      </w:r>
      <w:r>
        <w:rPr>
          <w:rFonts w:ascii="Times New Roman" w:hAnsi="Times New Roman"/>
          <w:sz w:val="28"/>
          <w:szCs w:val="28"/>
        </w:rPr>
        <w:t xml:space="preserve">/дня при паллиативной помощи в стационарных условиях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26,8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нормативе затрат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16,0</w:t>
      </w:r>
      <w:r>
        <w:rPr>
          <w:rFonts w:ascii="Times New Roman" w:hAnsi="Times New Roman"/>
          <w:sz w:val="28"/>
          <w:szCs w:val="28"/>
        </w:rPr>
        <w:t xml:space="preserve"> тыс. </w:t>
      </w:r>
      <w:r>
        <w:rPr>
          <w:rFonts w:ascii="Times New Roman" w:hAnsi="Times New Roman"/>
          <w:sz w:val="28"/>
          <w:szCs w:val="28"/>
        </w:rPr>
        <w:t xml:space="preserve">руб</w:t>
      </w:r>
      <w:r>
        <w:rPr>
          <w:rFonts w:ascii="Times New Roman" w:hAnsi="Times New Roman"/>
          <w:sz w:val="28"/>
          <w:szCs w:val="28"/>
        </w:rPr>
        <w:t xml:space="preserve">лей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стоимость оказанной медицинской помощи в расчете на одного застрахованного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 составила: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скор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5,2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амбулаторно-поликлиническ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, оказываем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с профилактической целью – </w:t>
      </w:r>
      <w:r>
        <w:rPr>
          <w:rFonts w:ascii="Times New Roman" w:hAnsi="Times New Roman"/>
          <w:sz w:val="28"/>
          <w:szCs w:val="28"/>
        </w:rPr>
        <w:t xml:space="preserve">22,7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амбулаторно-поликлиническ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, оказываем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в неотложной форме – </w:t>
      </w:r>
      <w:r>
        <w:rPr>
          <w:rFonts w:ascii="Times New Roman" w:hAnsi="Times New Roman"/>
          <w:sz w:val="28"/>
          <w:szCs w:val="28"/>
        </w:rPr>
        <w:t xml:space="preserve">1,7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амбулаторно-поликлиническ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, оказываем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в связи с заболеванием – </w:t>
      </w:r>
      <w:r>
        <w:rPr>
          <w:rFonts w:ascii="Times New Roman" w:hAnsi="Times New Roman"/>
          <w:sz w:val="28"/>
          <w:szCs w:val="28"/>
        </w:rPr>
        <w:t xml:space="preserve">12,1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стационарн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51,0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стационарно-замещающ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1,6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паллиативн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 в стационарных условиях – </w:t>
      </w:r>
      <w:r>
        <w:rPr>
          <w:rFonts w:ascii="Times New Roman" w:hAnsi="Times New Roman"/>
          <w:sz w:val="28"/>
          <w:szCs w:val="28"/>
        </w:rPr>
        <w:t xml:space="preserve">0,1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rFonts w:ascii="Times New Roman" w:hAnsi="Times New Roman" w:eastAsiaTheme="minorHAnsi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Theme="minorHAnsi"/>
          <w:color w:val="ff0000"/>
          <w:sz w:val="28"/>
          <w:szCs w:val="28"/>
        </w:rPr>
        <w:tab/>
      </w:r>
      <w:r>
        <w:rPr>
          <w:rFonts w:ascii="Times New Roman" w:hAnsi="Times New Roman" w:eastAsiaTheme="minorHAnsi"/>
          <w:color w:val="ff0000"/>
          <w:sz w:val="28"/>
          <w:szCs w:val="28"/>
        </w:rPr>
      </w:r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4. </w:t>
      </w:r>
      <w:r>
        <w:rPr>
          <w:rStyle w:val="4578"/>
          <w:b/>
          <w:sz w:val="28"/>
          <w:szCs w:val="28"/>
        </w:rPr>
        <w:t xml:space="preserve">Использование средств нормированного страхового запаса бюджета Фонда</w:t>
      </w:r>
      <w:r>
        <w:rPr>
          <w:rFonts w:ascii="Times New Roman" w:hAnsi="Times New Roman" w:eastAsiaTheme="minorHAnsi"/>
          <w:color w:val="ff0000"/>
          <w:sz w:val="28"/>
          <w:szCs w:val="28"/>
        </w:rPr>
      </w:r>
      <w:r>
        <w:rPr>
          <w:rFonts w:ascii="Times New Roman" w:hAnsi="Times New Roman" w:eastAsiaTheme="minorHAnsi"/>
          <w:color w:val="ff0000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4 Закона о бюджете Фонда, для обеспечения финансовой устойчивости системы ОМС на территории округа, утвержден нормированный страховой запас</w:t>
      </w:r>
      <w:r>
        <w:rPr>
          <w:rStyle w:val="4381"/>
          <w:rFonts w:ascii="Times New Roman" w:hAnsi="Times New Roman"/>
          <w:sz w:val="28"/>
          <w:szCs w:val="28"/>
        </w:rPr>
        <w:footnoteReference w:id="45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Фонда на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 в размере </w:t>
      </w:r>
      <w:r>
        <w:rPr>
          <w:rFonts w:ascii="Times New Roman" w:hAnsi="Times New Roman"/>
          <w:sz w:val="28"/>
          <w:szCs w:val="28"/>
        </w:rPr>
        <w:t xml:space="preserve">262 196,4</w:t>
      </w:r>
      <w:r>
        <w:rPr>
          <w:rFonts w:ascii="Times New Roman" w:hAnsi="Times New Roman"/>
          <w:sz w:val="28"/>
          <w:szCs w:val="28"/>
        </w:rPr>
        <w:t xml:space="preserve"> тыс. рублей.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начало отчетного периода остаток средств НСЗ составлял </w:t>
      </w:r>
      <w:r>
        <w:rPr>
          <w:rFonts w:ascii="Times New Roman" w:hAnsi="Times New Roman"/>
          <w:sz w:val="28"/>
          <w:szCs w:val="28"/>
        </w:rPr>
        <w:t xml:space="preserve">6 118,4 </w:t>
      </w:r>
      <w:r>
        <w:rPr>
          <w:rFonts w:ascii="Times New Roman" w:hAnsi="Times New Roman"/>
          <w:sz w:val="28"/>
          <w:szCs w:val="28"/>
        </w:rPr>
        <w:t xml:space="preserve">тыс. </w:t>
      </w:r>
      <w:r>
        <w:rPr>
          <w:rFonts w:ascii="Times New Roman" w:hAnsi="Times New Roman"/>
          <w:sz w:val="28"/>
          <w:szCs w:val="28"/>
        </w:rPr>
        <w:t xml:space="preserve">рублей. 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сформирован НСЗ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сумме </w:t>
      </w:r>
      <w:r>
        <w:rPr>
          <w:rFonts w:ascii="Times New Roman" w:hAnsi="Times New Roman"/>
          <w:sz w:val="28"/>
          <w:szCs w:val="28"/>
        </w:rPr>
        <w:t xml:space="preserve">266 08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 числе: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23 16</w:t>
      </w:r>
      <w:r>
        <w:rPr>
          <w:rFonts w:ascii="Times New Roman" w:hAnsi="Times New Roman"/>
          <w:bCs/>
          <w:sz w:val="28"/>
          <w:szCs w:val="28"/>
        </w:rPr>
        <w:t xml:space="preserve">5</w:t>
      </w:r>
      <w:r>
        <w:rPr>
          <w:rFonts w:ascii="Times New Roman" w:hAnsi="Times New Roman"/>
          <w:bCs/>
          <w:sz w:val="28"/>
          <w:szCs w:val="28"/>
        </w:rPr>
        <w:t xml:space="preserve">,</w:t>
      </w:r>
      <w:r>
        <w:rPr>
          <w:rFonts w:ascii="Times New Roman" w:hAnsi="Times New Roman"/>
          <w:bCs/>
          <w:sz w:val="28"/>
          <w:szCs w:val="28"/>
        </w:rPr>
        <w:t xml:space="preserve">9</w:t>
      </w:r>
      <w:r>
        <w:rPr>
          <w:rFonts w:ascii="Times New Roman" w:hAnsi="Times New Roman"/>
          <w:bCs/>
          <w:sz w:val="28"/>
          <w:szCs w:val="28"/>
        </w:rPr>
        <w:t xml:space="preserve"> тыс. рублей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поступлени</w:t>
      </w:r>
      <w:r>
        <w:rPr>
          <w:rFonts w:ascii="Times New Roman" w:hAnsi="Times New Roman"/>
          <w:bCs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от СМО и ФФ</w:t>
      </w:r>
      <w:r>
        <w:rPr>
          <w:rFonts w:ascii="Times New Roman" w:hAnsi="Times New Roman"/>
          <w:sz w:val="28"/>
          <w:szCs w:val="28"/>
        </w:rPr>
        <w:t xml:space="preserve">ОМС по итогам </w:t>
      </w:r>
      <w:r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экспертиз и контрольно-экспертных мероприятий качества оказания медицинской помощи</w:t>
      </w:r>
      <w:r>
        <w:rPr>
          <w:rFonts w:ascii="Times New Roman" w:hAnsi="Times New Roman"/>
          <w:sz w:val="28"/>
          <w:szCs w:val="28"/>
        </w:rPr>
        <w:t xml:space="preserve"> в системе ОМС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29 870,4</w:t>
      </w:r>
      <w:r>
        <w:rPr>
          <w:rFonts w:ascii="Times New Roman" w:hAnsi="Times New Roman"/>
          <w:sz w:val="28"/>
          <w:szCs w:val="28"/>
        </w:rPr>
        <w:t xml:space="preserve"> тыс. рублей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межбюджетны</w:t>
      </w:r>
      <w:r>
        <w:rPr>
          <w:rFonts w:ascii="Times New Roman" w:hAnsi="Times New Roman"/>
          <w:bCs/>
          <w:sz w:val="28"/>
          <w:szCs w:val="28"/>
        </w:rPr>
        <w:t xml:space="preserve">е</w:t>
      </w:r>
      <w:r>
        <w:rPr>
          <w:rFonts w:ascii="Times New Roman" w:hAnsi="Times New Roman"/>
          <w:bCs/>
          <w:sz w:val="28"/>
          <w:szCs w:val="28"/>
        </w:rPr>
        <w:t xml:space="preserve"> трансферт</w:t>
      </w:r>
      <w:r>
        <w:rPr>
          <w:rFonts w:ascii="Times New Roman" w:hAnsi="Times New Roman"/>
          <w:bCs/>
          <w:sz w:val="28"/>
          <w:szCs w:val="28"/>
        </w:rPr>
        <w:t xml:space="preserve">ы</w:t>
      </w:r>
      <w:r>
        <w:rPr>
          <w:rFonts w:ascii="Times New Roman" w:hAnsi="Times New Roman"/>
          <w:bCs/>
          <w:sz w:val="28"/>
          <w:szCs w:val="28"/>
        </w:rPr>
        <w:t xml:space="preserve"> из бюджета ФФ</w:t>
      </w:r>
      <w:r>
        <w:rPr>
          <w:rFonts w:ascii="Times New Roman" w:hAnsi="Times New Roman"/>
          <w:bCs/>
          <w:sz w:val="28"/>
          <w:szCs w:val="28"/>
        </w:rPr>
        <w:t xml:space="preserve">ОМС, передаваемы</w:t>
      </w:r>
      <w:r>
        <w:rPr>
          <w:rFonts w:ascii="Times New Roman" w:hAnsi="Times New Roman"/>
          <w:bCs/>
          <w:sz w:val="28"/>
          <w:szCs w:val="28"/>
        </w:rPr>
        <w:t xml:space="preserve">е</w:t>
      </w:r>
      <w:r>
        <w:rPr>
          <w:rFonts w:ascii="Times New Roman" w:hAnsi="Times New Roman"/>
          <w:bCs/>
          <w:sz w:val="28"/>
          <w:szCs w:val="28"/>
        </w:rPr>
        <w:t xml:space="preserve"> на финансовое обеспечени</w:t>
      </w:r>
      <w:r>
        <w:rPr>
          <w:rFonts w:ascii="Times New Roman" w:hAnsi="Times New Roman"/>
          <w:bCs/>
          <w:sz w:val="28"/>
          <w:szCs w:val="28"/>
        </w:rPr>
        <w:t xml:space="preserve">е</w:t>
      </w:r>
      <w:r>
        <w:rPr>
          <w:rFonts w:ascii="Times New Roman" w:hAnsi="Times New Roman"/>
          <w:bCs/>
          <w:sz w:val="28"/>
          <w:szCs w:val="28"/>
        </w:rPr>
        <w:t xml:space="preserve"> формирования НСЗ;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117 519,6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bCs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межбюджетны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трансферт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, передаваемы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из других бюджетов территориальных фондов ОМС;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91 501,2</w:t>
      </w:r>
      <w:r>
        <w:rPr>
          <w:rFonts w:ascii="Times New Roman" w:hAnsi="Times New Roman"/>
          <w:bCs/>
          <w:sz w:val="28"/>
          <w:szCs w:val="28"/>
        </w:rPr>
        <w:t xml:space="preserve"> тыс. рублей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межбюджетны</w:t>
      </w:r>
      <w:r>
        <w:rPr>
          <w:rFonts w:ascii="Times New Roman" w:hAnsi="Times New Roman"/>
          <w:bCs/>
          <w:sz w:val="28"/>
          <w:szCs w:val="28"/>
        </w:rPr>
        <w:t xml:space="preserve">е</w:t>
      </w:r>
      <w:r>
        <w:rPr>
          <w:rFonts w:ascii="Times New Roman" w:hAnsi="Times New Roman"/>
          <w:bCs/>
          <w:sz w:val="28"/>
          <w:szCs w:val="28"/>
        </w:rPr>
        <w:t xml:space="preserve"> трансферт</w:t>
      </w:r>
      <w:r>
        <w:rPr>
          <w:rFonts w:ascii="Times New Roman" w:hAnsi="Times New Roman"/>
          <w:bCs/>
          <w:sz w:val="28"/>
          <w:szCs w:val="28"/>
        </w:rPr>
        <w:t xml:space="preserve">ы</w:t>
      </w:r>
      <w:r>
        <w:rPr>
          <w:rFonts w:ascii="Times New Roman" w:hAnsi="Times New Roman"/>
          <w:bCs/>
          <w:sz w:val="28"/>
          <w:szCs w:val="28"/>
        </w:rPr>
        <w:t xml:space="preserve"> из бюджета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sz w:val="28"/>
          <w:szCs w:val="28"/>
        </w:rPr>
        <w:t xml:space="preserve">ФФ</w:t>
      </w:r>
      <w:r>
        <w:rPr>
          <w:rFonts w:ascii="Times New Roman" w:hAnsi="Times New Roman"/>
          <w:bCs/>
          <w:sz w:val="28"/>
          <w:szCs w:val="28"/>
        </w:rPr>
        <w:t xml:space="preserve">ОМС, передаваемы</w:t>
      </w:r>
      <w:r>
        <w:rPr>
          <w:rFonts w:ascii="Times New Roman" w:hAnsi="Times New Roman"/>
          <w:bCs/>
          <w:sz w:val="28"/>
          <w:szCs w:val="28"/>
        </w:rPr>
        <w:t xml:space="preserve">е</w:t>
      </w:r>
      <w:r>
        <w:rPr>
          <w:rFonts w:ascii="Times New Roman" w:hAnsi="Times New Roman"/>
          <w:bCs/>
          <w:sz w:val="28"/>
          <w:szCs w:val="28"/>
        </w:rPr>
        <w:t xml:space="preserve"> на финансовое обеспечени</w:t>
      </w:r>
      <w:r>
        <w:rPr>
          <w:rFonts w:ascii="Times New Roman" w:hAnsi="Times New Roman"/>
          <w:bCs/>
          <w:sz w:val="28"/>
          <w:szCs w:val="28"/>
        </w:rPr>
        <w:t xml:space="preserve">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организации ОМС на территории округа;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4 025,</w:t>
      </w:r>
      <w:r>
        <w:rPr>
          <w:rFonts w:ascii="Times New Roman" w:hAnsi="Times New Roman"/>
          <w:bCs/>
          <w:sz w:val="28"/>
          <w:szCs w:val="28"/>
        </w:rPr>
        <w:t xml:space="preserve">8</w:t>
      </w:r>
      <w:r>
        <w:rPr>
          <w:rFonts w:ascii="Times New Roman" w:hAnsi="Times New Roman"/>
          <w:bCs/>
          <w:sz w:val="28"/>
          <w:szCs w:val="28"/>
        </w:rPr>
        <w:t xml:space="preserve"> тыс. рублей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собственны</w:t>
      </w:r>
      <w:r>
        <w:rPr>
          <w:rFonts w:ascii="Times New Roman" w:hAnsi="Times New Roman"/>
          <w:bCs/>
          <w:sz w:val="28"/>
          <w:szCs w:val="28"/>
        </w:rPr>
        <w:t xml:space="preserve">е</w:t>
      </w:r>
      <w:r>
        <w:rPr>
          <w:rFonts w:ascii="Times New Roman" w:hAnsi="Times New Roman"/>
          <w:bCs/>
          <w:sz w:val="28"/>
          <w:szCs w:val="28"/>
        </w:rPr>
        <w:t xml:space="preserve"> доход</w:t>
      </w:r>
      <w:r>
        <w:rPr>
          <w:rFonts w:ascii="Times New Roman" w:hAnsi="Times New Roman"/>
          <w:bCs/>
          <w:sz w:val="28"/>
          <w:szCs w:val="28"/>
        </w:rPr>
        <w:t xml:space="preserve">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Фонда (иные штрафы, </w:t>
      </w:r>
      <w:r>
        <w:rPr>
          <w:rFonts w:ascii="Times New Roman" w:hAnsi="Times New Roman"/>
          <w:bCs/>
          <w:sz w:val="28"/>
          <w:szCs w:val="28"/>
        </w:rPr>
        <w:t xml:space="preserve">неустойки, пени, </w:t>
      </w:r>
      <w:r>
        <w:rPr>
          <w:rFonts w:ascii="Times New Roman" w:hAnsi="Times New Roman"/>
          <w:sz w:val="28"/>
          <w:szCs w:val="28"/>
        </w:rPr>
        <w:t xml:space="preserve">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Расходы за счет средств</w:t>
      </w:r>
      <w:r>
        <w:rPr>
          <w:rFonts w:ascii="Times New Roman" w:hAnsi="Times New Roman"/>
          <w:sz w:val="28"/>
          <w:szCs w:val="28"/>
        </w:rPr>
        <w:t xml:space="preserve"> НСЗ 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осуществлялись </w:t>
      </w:r>
      <w:r>
        <w:rPr>
          <w:rFonts w:ascii="Times New Roman" w:hAnsi="Times New Roman"/>
          <w:bCs/>
          <w:sz w:val="28"/>
          <w:szCs w:val="28"/>
        </w:rPr>
        <w:t xml:space="preserve">на цели, предусмотренные пунктом 2 статьи 4 Закона о бюджете Фонда,</w:t>
      </w:r>
      <w:r>
        <w:rPr>
          <w:rFonts w:ascii="Times New Roman" w:hAnsi="Times New Roman"/>
          <w:sz w:val="28"/>
          <w:szCs w:val="28"/>
        </w:rPr>
        <w:t xml:space="preserve"> и составили </w:t>
      </w:r>
      <w:r>
        <w:rPr>
          <w:rFonts w:ascii="Times New Roman" w:hAnsi="Times New Roman"/>
          <w:sz w:val="28"/>
          <w:szCs w:val="28"/>
        </w:rPr>
        <w:t xml:space="preserve">257 676,7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, в том числе: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585" w:leader="none"/>
          <w:tab w:val="center" w:pos="485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117 519,6</w:t>
      </w:r>
      <w:r>
        <w:rPr>
          <w:rFonts w:ascii="Times New Roman" w:hAnsi="Times New Roman"/>
          <w:sz w:val="28"/>
          <w:szCs w:val="28"/>
        </w:rPr>
        <w:t xml:space="preserve"> тыс. рублей – на оплату счетов за </w:t>
      </w:r>
      <w:r>
        <w:rPr>
          <w:rFonts w:ascii="Times New Roman" w:hAnsi="Times New Roman"/>
          <w:sz w:val="28"/>
          <w:szCs w:val="28"/>
        </w:rPr>
        <w:t xml:space="preserve">медицинскую помощь, оказанную медицинскими организациями Чукотского автономного округа</w:t>
      </w:r>
      <w:r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 xml:space="preserve">ам</w:t>
      </w:r>
      <w:r>
        <w:rPr>
          <w:rFonts w:ascii="Times New Roman" w:hAnsi="Times New Roman"/>
          <w:sz w:val="28"/>
          <w:szCs w:val="28"/>
        </w:rPr>
        <w:t xml:space="preserve">, застрахованным в других субъектах Российской Федерации;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585" w:leader="none"/>
          <w:tab w:val="center" w:pos="485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95 527,0</w:t>
      </w:r>
      <w:r>
        <w:rPr>
          <w:rFonts w:ascii="Times New Roman" w:hAnsi="Times New Roman"/>
          <w:sz w:val="28"/>
          <w:szCs w:val="28"/>
        </w:rPr>
        <w:t xml:space="preserve"> тыс. рублей – на оплату счетов за медицинскую помощь, оказанную </w:t>
      </w:r>
      <w:r>
        <w:rPr>
          <w:rFonts w:ascii="Times New Roman" w:hAnsi="Times New Roman"/>
          <w:sz w:val="28"/>
          <w:szCs w:val="28"/>
        </w:rPr>
        <w:t xml:space="preserve">гражданам</w:t>
      </w:r>
      <w:r>
        <w:rPr>
          <w:rFonts w:ascii="Times New Roman" w:hAnsi="Times New Roman"/>
          <w:sz w:val="28"/>
          <w:szCs w:val="28"/>
        </w:rPr>
        <w:t xml:space="preserve">, застрахованным на территории Чукотского автономного округа, за его пределами;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585" w:leader="none"/>
          <w:tab w:val="center" w:pos="485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15 121,7</w:t>
      </w:r>
      <w:r>
        <w:rPr>
          <w:rFonts w:ascii="Times New Roman" w:hAnsi="Times New Roman"/>
          <w:sz w:val="28"/>
          <w:szCs w:val="28"/>
        </w:rPr>
        <w:t xml:space="preserve"> тыс. рублей – на приобретение медицинского оборудования и проведение его ремонта;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585" w:leader="none"/>
          <w:tab w:val="center" w:pos="485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29 508,4</w:t>
      </w:r>
      <w:r>
        <w:rPr>
          <w:rFonts w:ascii="Times New Roman" w:hAnsi="Times New Roman"/>
          <w:sz w:val="28"/>
          <w:szCs w:val="28"/>
        </w:rPr>
        <w:t xml:space="preserve"> тыс. рублей – на софинансирование расходов медицинских организаций на оплату труда врачей и среднего медицинского персонала.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585" w:leader="none"/>
          <w:tab w:val="center" w:pos="485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конец</w:t>
      </w:r>
      <w:r>
        <w:rPr>
          <w:rFonts w:ascii="Times New Roman" w:hAnsi="Times New Roman"/>
          <w:sz w:val="28"/>
          <w:szCs w:val="28"/>
        </w:rPr>
        <w:t xml:space="preserve"> отчетного периода остаток средств НСЗ составил </w:t>
      </w:r>
      <w:r>
        <w:rPr>
          <w:rFonts w:ascii="Times New Roman" w:hAnsi="Times New Roman"/>
          <w:sz w:val="28"/>
          <w:szCs w:val="28"/>
        </w:rPr>
        <w:t xml:space="preserve">14 162,7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(с учетом возврат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остатк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межбюджетн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трансферт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бюджет ФФОМС, п</w:t>
      </w:r>
      <w:r>
        <w:rPr>
          <w:rFonts w:ascii="Times New Roman" w:hAnsi="Times New Roman"/>
          <w:sz w:val="28"/>
          <w:szCs w:val="28"/>
        </w:rPr>
        <w:t xml:space="preserve">редоставляемого</w:t>
      </w:r>
      <w:r>
        <w:rPr>
          <w:rFonts w:ascii="Times New Roman" w:hAnsi="Times New Roman"/>
          <w:sz w:val="28"/>
          <w:szCs w:val="28"/>
        </w:rPr>
        <w:t xml:space="preserve"> на финансовое обеспечение формирования НСЗ</w:t>
      </w:r>
      <w:r>
        <w:rPr>
          <w:rFonts w:ascii="Times New Roman" w:hAnsi="Times New Roman"/>
          <w:sz w:val="28"/>
          <w:szCs w:val="28"/>
        </w:rPr>
        <w:t xml:space="preserve"> в сумме 362,3 тыс. рублей)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434"/>
        <w:ind w:left="0" w:firstLine="709"/>
        <w:spacing w:before="0" w:beforeAutospacing="0" w:after="0" w:afterAutospacing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Выводы: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Theme="minorHAnsi"/>
          <w:sz w:val="28"/>
          <w:szCs w:val="28"/>
          <w14:ligatures w14:val="none"/>
        </w:rPr>
      </w:pPr>
      <w:r>
        <w:rPr>
          <w:rFonts w:ascii="Times New Roman" w:hAnsi="Times New Roman" w:eastAsiaTheme="minorHAnsi"/>
          <w:sz w:val="28"/>
          <w:szCs w:val="28"/>
        </w:rPr>
        <w:t xml:space="preserve">1. </w:t>
      </w:r>
      <w:r>
        <w:rPr>
          <w:rFonts w:ascii="Times New Roman" w:hAnsi="Times New Roman" w:eastAsiaTheme="minorHAnsi"/>
          <w:sz w:val="28"/>
          <w:szCs w:val="28"/>
        </w:rPr>
        <w:t xml:space="preserve">Отчет об исполнении бюджета Фонда за 202</w:t>
      </w:r>
      <w:r>
        <w:rPr>
          <w:rFonts w:ascii="Times New Roman" w:hAnsi="Times New Roman" w:eastAsiaTheme="minorHAnsi"/>
          <w:sz w:val="28"/>
          <w:szCs w:val="28"/>
        </w:rPr>
        <w:t xml:space="preserve">5</w:t>
      </w:r>
      <w:r>
        <w:rPr>
          <w:rFonts w:ascii="Times New Roman" w:hAnsi="Times New Roman" w:eastAsiaTheme="minorHAnsi"/>
          <w:sz w:val="28"/>
          <w:szCs w:val="28"/>
        </w:rPr>
        <w:t xml:space="preserve"> год представлен Правительством Чукотского автономного округа в Счетную палату в установленные законодательством сроки</w:t>
      </w:r>
      <w:r>
        <w:rPr>
          <w:rFonts w:ascii="Times New Roman" w:hAnsi="Times New Roman" w:eastAsiaTheme="minorHAnsi"/>
          <w:sz w:val="28"/>
          <w:szCs w:val="28"/>
        </w:rPr>
        <w:t xml:space="preserve">.</w:t>
      </w:r>
      <w:r>
        <w:rPr>
          <w:rFonts w:ascii="Times New Roman" w:hAnsi="Times New Roman" w:eastAsiaTheme="minorHAnsi"/>
          <w:sz w:val="28"/>
          <w:szCs w:val="28"/>
          <w14:ligatures w14:val="none"/>
        </w:rPr>
      </w:r>
      <w:r>
        <w:rPr>
          <w:rFonts w:ascii="Times New Roman" w:hAnsi="Times New Roman" w:eastAsiaTheme="minorHAnsi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Theme="minorHAnsi"/>
          <w:sz w:val="28"/>
          <w:szCs w:val="28"/>
          <w14:ligatures w14:val="none"/>
        </w:rPr>
      </w:pPr>
      <w:r>
        <w:rPr>
          <w:rFonts w:ascii="Times New Roman" w:hAnsi="Times New Roman" w:eastAsiaTheme="minorHAnsi"/>
          <w:sz w:val="28"/>
          <w:szCs w:val="28"/>
        </w:rPr>
        <w:t xml:space="preserve">Показатели, отраженные в отчете, соответствуют показателям сводной росписи </w:t>
      </w:r>
      <w:r>
        <w:rPr>
          <w:rFonts w:ascii="Times New Roman" w:hAnsi="Times New Roman" w:eastAsiaTheme="minorHAnsi"/>
          <w:sz w:val="28"/>
          <w:szCs w:val="28"/>
        </w:rPr>
        <w:t xml:space="preserve">расходов </w:t>
      </w:r>
      <w:r>
        <w:rPr>
          <w:rFonts w:ascii="Times New Roman" w:hAnsi="Times New Roman" w:eastAsiaTheme="minorHAnsi"/>
          <w:sz w:val="28"/>
          <w:szCs w:val="28"/>
        </w:rPr>
        <w:t xml:space="preserve">бюджета Фонда на 202</w:t>
      </w:r>
      <w:r>
        <w:rPr>
          <w:rFonts w:ascii="Times New Roman" w:hAnsi="Times New Roman" w:eastAsiaTheme="minorHAnsi"/>
          <w:sz w:val="28"/>
          <w:szCs w:val="28"/>
        </w:rPr>
        <w:t xml:space="preserve">5</w:t>
      </w:r>
      <w:r>
        <w:rPr>
          <w:rFonts w:ascii="Times New Roman" w:hAnsi="Times New Roman" w:eastAsiaTheme="minorHAnsi"/>
          <w:sz w:val="28"/>
          <w:szCs w:val="28"/>
        </w:rPr>
        <w:t xml:space="preserve"> год и подтверждаются данными годовой бюджетной отчетности Фонда, являющегося главным </w:t>
      </w:r>
      <w:r>
        <w:rPr>
          <w:rFonts w:ascii="Times New Roman" w:hAnsi="Times New Roman" w:eastAsiaTheme="minorHAnsi"/>
          <w:sz w:val="28"/>
          <w:szCs w:val="28"/>
        </w:rPr>
        <w:t xml:space="preserve">администратором доходов бюджета Фонда</w:t>
      </w:r>
      <w:r>
        <w:rPr>
          <w:rFonts w:ascii="Times New Roman" w:hAnsi="Times New Roman" w:eastAsiaTheme="minorHAnsi"/>
          <w:sz w:val="28"/>
          <w:szCs w:val="28"/>
        </w:rPr>
        <w:t xml:space="preserve">.</w:t>
      </w:r>
      <w:r>
        <w:rPr>
          <w:rFonts w:ascii="Times New Roman" w:hAnsi="Times New Roman" w:eastAsiaTheme="minorHAnsi"/>
          <w:sz w:val="28"/>
          <w:szCs w:val="28"/>
          <w14:ligatures w14:val="none"/>
        </w:rPr>
      </w:r>
      <w:r>
        <w:rPr>
          <w:rFonts w:ascii="Times New Roman" w:hAnsi="Times New Roman" w:eastAsiaTheme="minorHAnsi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</w:t>
      </w:r>
      <w:r>
        <w:rPr>
          <w:rFonts w:ascii="Times New Roman" w:hAnsi="Times New Roman"/>
          <w:sz w:val="28"/>
          <w:szCs w:val="28"/>
        </w:rPr>
        <w:t xml:space="preserve">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на территории Чукотского автономного округа в системе ОМС осуществляли деятельность две медицинские организации: ГБУЗ «Чукотская окружная больница»; ФГБУЗ «Медико-санитарная часть №4 </w:t>
      </w:r>
      <w:r>
        <w:rPr>
          <w:rFonts w:ascii="Times New Roman" w:hAnsi="Times New Roman"/>
          <w:sz w:val="28"/>
          <w:szCs w:val="28"/>
        </w:rPr>
        <w:t xml:space="preserve">Федерального медико-биологического агентства</w:t>
      </w:r>
      <w:r>
        <w:rPr>
          <w:rFonts w:ascii="Times New Roman" w:hAnsi="Times New Roman"/>
          <w:sz w:val="28"/>
          <w:szCs w:val="28"/>
        </w:rPr>
        <w:t xml:space="preserve">». Функции страховщика осуществлял Чукотский филиал АО «Страховая компания «СОГАЗ-Мед»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региональном сегменте единого регистра застрахованных лиц Чукотского автономного округа на начало отчетного периода числились              45 18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, в том числе по группам застрахованных лиц: работающие –                  </w:t>
      </w:r>
      <w:r>
        <w:rPr>
          <w:rFonts w:ascii="Times New Roman" w:hAnsi="Times New Roman"/>
          <w:sz w:val="28"/>
          <w:szCs w:val="28"/>
        </w:rPr>
        <w:t xml:space="preserve">23 127</w:t>
      </w:r>
      <w:r>
        <w:rPr>
          <w:rFonts w:ascii="Times New Roman" w:hAnsi="Times New Roman"/>
          <w:sz w:val="28"/>
          <w:szCs w:val="28"/>
        </w:rPr>
        <w:t xml:space="preserve"> человек; неработающие – </w:t>
      </w:r>
      <w:r>
        <w:rPr>
          <w:rFonts w:ascii="Times New Roman" w:hAnsi="Times New Roman"/>
          <w:sz w:val="28"/>
          <w:szCs w:val="28"/>
        </w:rPr>
        <w:t xml:space="preserve">22 055</w:t>
      </w:r>
      <w:r>
        <w:rPr>
          <w:rFonts w:ascii="Times New Roman" w:hAnsi="Times New Roman"/>
          <w:sz w:val="28"/>
          <w:szCs w:val="28"/>
        </w:rPr>
        <w:t xml:space="preserve"> человек.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</w:t>
      </w:r>
      <w:r>
        <w:rPr>
          <w:rFonts w:ascii="Times New Roman" w:hAnsi="Times New Roman"/>
          <w:sz w:val="28"/>
          <w:szCs w:val="28"/>
        </w:rPr>
        <w:t xml:space="preserve">Бюджет Фонда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 исполнен: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доходам – в сумме </w:t>
      </w:r>
      <w:r>
        <w:rPr>
          <w:rFonts w:ascii="Times New Roman" w:hAnsi="Times New Roman"/>
          <w:sz w:val="28"/>
          <w:szCs w:val="28"/>
        </w:rPr>
        <w:t xml:space="preserve">4 691 980,7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или 100,3</w:t>
      </w:r>
      <w:r>
        <w:rPr>
          <w:rFonts w:ascii="Times New Roman" w:hAnsi="Times New Roman"/>
          <w:sz w:val="28"/>
          <w:szCs w:val="28"/>
        </w:rPr>
        <w:t xml:space="preserve">% от плановых назначений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расходам – в сумме </w:t>
      </w:r>
      <w:r>
        <w:rPr>
          <w:rFonts w:ascii="Times New Roman" w:hAnsi="Times New Roman"/>
          <w:sz w:val="28"/>
          <w:szCs w:val="28"/>
        </w:rPr>
        <w:t xml:space="preserve">4 688 593,4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 xml:space="preserve">99,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% от плановых назначений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профицит</w:t>
      </w:r>
      <w:r>
        <w:rPr>
          <w:rFonts w:ascii="Times New Roman" w:hAnsi="Times New Roman"/>
          <w:sz w:val="28"/>
          <w:szCs w:val="28"/>
        </w:rPr>
        <w:t xml:space="preserve"> составил </w:t>
      </w:r>
      <w:r>
        <w:rPr>
          <w:rFonts w:ascii="Times New Roman" w:hAnsi="Times New Roman"/>
          <w:sz w:val="28"/>
          <w:szCs w:val="28"/>
        </w:rPr>
        <w:t xml:space="preserve">3 387,3</w:t>
      </w:r>
      <w:r>
        <w:rPr>
          <w:rFonts w:ascii="Times New Roman" w:hAnsi="Times New Roman"/>
          <w:sz w:val="28"/>
          <w:szCs w:val="28"/>
        </w:rPr>
        <w:t xml:space="preserve"> тыс. рублей при плановом значении</w:t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дефицита 22 916,2</w:t>
      </w:r>
      <w:r>
        <w:rPr>
          <w:rFonts w:ascii="Times New Roman" w:hAnsi="Times New Roman" w:eastAsia="Times New Roman"/>
          <w:b/>
          <w:bCs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 рублей. </w:t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</w:t>
      </w:r>
      <w:r>
        <w:rPr>
          <w:rFonts w:ascii="Times New Roman" w:hAnsi="Times New Roman"/>
          <w:sz w:val="28"/>
          <w:szCs w:val="28"/>
        </w:rPr>
        <w:t xml:space="preserve">Основная часть доходов бюджета Фонда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99,4</w:t>
      </w:r>
      <w:r>
        <w:rPr>
          <w:rFonts w:ascii="Times New Roman" w:hAnsi="Times New Roman"/>
          <w:sz w:val="28"/>
          <w:szCs w:val="28"/>
        </w:rPr>
        <w:t xml:space="preserve">%</w:t>
      </w:r>
      <w:r>
        <w:rPr>
          <w:rFonts w:ascii="Times New Roman" w:hAnsi="Times New Roman"/>
          <w:sz w:val="28"/>
          <w:szCs w:val="28"/>
        </w:rPr>
        <w:t xml:space="preserve">, сформирована в отчетном периоде за счет безвозмездных поступлений, объем которых с </w:t>
      </w:r>
      <w:r>
        <w:rPr>
          <w:rFonts w:ascii="Times New Roman" w:hAnsi="Times New Roman"/>
          <w:sz w:val="28"/>
          <w:szCs w:val="28"/>
        </w:rPr>
        <w:t xml:space="preserve">учетом возврата остатков субсидий, субвенций и иных межбюджетных трансфертов, имеющих целевое назначение, прошлых лет, составил </w:t>
      </w:r>
      <w:r>
        <w:rPr>
          <w:rFonts w:ascii="Times New Roman" w:hAnsi="Times New Roman"/>
          <w:sz w:val="28"/>
          <w:szCs w:val="28"/>
        </w:rPr>
        <w:t xml:space="preserve">4 664 895,1</w:t>
      </w:r>
      <w:r>
        <w:rPr>
          <w:rFonts w:eastAsia="Times New Roman" w:cs="Calibri"/>
          <w:b/>
          <w:bCs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рублей. </w:t>
      </w:r>
      <w:r>
        <w:rPr>
          <w:rFonts w:ascii="Times New Roman" w:hAnsi="Times New Roman"/>
          <w:sz w:val="28"/>
          <w:szCs w:val="28"/>
        </w:rPr>
        <w:t xml:space="preserve">Налоговые и неналоговые доходы в структуре доходов бюджета Фонда составили 0,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 xml:space="preserve"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27</w:t>
      </w:r>
      <w:r>
        <w:rPr>
          <w:rFonts w:ascii="Times New Roman" w:hAnsi="Times New Roman"/>
          <w:sz w:val="28"/>
          <w:szCs w:val="28"/>
        </w:rPr>
        <w:t xml:space="preserve"> 085,6 </w:t>
      </w:r>
      <w:r>
        <w:rPr>
          <w:rFonts w:ascii="Times New Roman" w:hAnsi="Times New Roman"/>
          <w:sz w:val="28"/>
          <w:szCs w:val="28"/>
        </w:rPr>
        <w:t xml:space="preserve">тыс. рублей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 О</w:t>
      </w:r>
      <w:r>
        <w:rPr>
          <w:rFonts w:ascii="Times New Roman" w:hAnsi="Times New Roman"/>
          <w:sz w:val="28"/>
          <w:szCs w:val="28"/>
        </w:rPr>
        <w:t xml:space="preserve">сновную долю в структуре расходов бюджета</w:t>
      </w:r>
      <w:r>
        <w:rPr>
          <w:rFonts w:ascii="Times New Roman" w:hAnsi="Times New Roman"/>
          <w:sz w:val="28"/>
          <w:szCs w:val="28"/>
        </w:rPr>
        <w:t xml:space="preserve"> Фонда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98,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%,</w:t>
      </w:r>
      <w:r>
        <w:rPr>
          <w:rFonts w:ascii="Times New Roman" w:hAnsi="Times New Roman"/>
          <w:sz w:val="28"/>
          <w:szCs w:val="28"/>
        </w:rPr>
        <w:t xml:space="preserve"> составляют расходы на «Здравоохранение» – </w:t>
      </w:r>
      <w:r>
        <w:rPr>
          <w:rFonts w:ascii="Times New Roman" w:hAnsi="Times New Roman"/>
          <w:sz w:val="28"/>
          <w:szCs w:val="28"/>
        </w:rPr>
        <w:t xml:space="preserve">4 617 882,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eastAsia="Times New Roman" w:cs="Calibri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 рублей, </w:t>
      </w:r>
      <w:r>
        <w:rPr>
          <w:rFonts w:ascii="Times New Roman" w:hAnsi="Times New Roman"/>
          <w:sz w:val="28"/>
          <w:szCs w:val="28"/>
        </w:rPr>
        <w:t xml:space="preserve">в том числе: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реализацию Территориальной программы </w:t>
      </w:r>
      <w:r>
        <w:rPr>
          <w:rFonts w:ascii="Times New Roman" w:hAnsi="Times New Roman"/>
          <w:sz w:val="28"/>
          <w:szCs w:val="28"/>
        </w:rPr>
        <w:t xml:space="preserve">ОМС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4 451 701,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eastAsia="Times New Roman" w:cs="Calibri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 xml:space="preserve">94,9</w:t>
      </w:r>
      <w:r>
        <w:rPr>
          <w:rFonts w:ascii="Times New Roman" w:hAnsi="Times New Roman"/>
          <w:sz w:val="28"/>
          <w:szCs w:val="28"/>
        </w:rPr>
        <w:t xml:space="preserve">%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непрограммные направления деятельности органов управления</w:t>
      </w:r>
      <w:r>
        <w:rPr>
          <w:rFonts w:ascii="Times New Roman" w:hAnsi="Times New Roman"/>
          <w:sz w:val="28"/>
          <w:szCs w:val="28"/>
        </w:rPr>
        <w:t xml:space="preserve"> территориальных государственных внебюджетных фондов – </w:t>
      </w:r>
      <w:r>
        <w:rPr>
          <w:rFonts w:ascii="Times New Roman" w:hAnsi="Times New Roman"/>
          <w:sz w:val="28"/>
          <w:szCs w:val="28"/>
        </w:rPr>
        <w:t xml:space="preserve">166 180,9 </w:t>
      </w:r>
      <w:r>
        <w:rPr>
          <w:rFonts w:ascii="Times New Roman" w:hAnsi="Times New Roman"/>
          <w:sz w:val="28"/>
          <w:szCs w:val="28"/>
        </w:rPr>
        <w:t xml:space="preserve">тыс.</w:t>
      </w:r>
      <w:r>
        <w:rPr>
          <w:rFonts w:ascii="Times New Roman" w:hAnsi="Times New Roman"/>
          <w:sz w:val="28"/>
          <w:szCs w:val="28"/>
        </w:rPr>
        <w:t xml:space="preserve"> рублей или </w:t>
      </w:r>
      <w:r>
        <w:rPr>
          <w:rFonts w:ascii="Times New Roman" w:hAnsi="Times New Roman"/>
          <w:sz w:val="28"/>
          <w:szCs w:val="28"/>
        </w:rPr>
        <w:t xml:space="preserve">3,5</w:t>
      </w:r>
      <w:r>
        <w:rPr>
          <w:rFonts w:ascii="Times New Roman" w:hAnsi="Times New Roman"/>
          <w:sz w:val="28"/>
          <w:szCs w:val="28"/>
        </w:rPr>
        <w:t xml:space="preserve">%.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Территориальной программы ОМС за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составило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99,9</w:t>
      </w:r>
      <w:r>
        <w:rPr>
          <w:rFonts w:ascii="Times New Roman" w:hAnsi="Times New Roman"/>
          <w:sz w:val="28"/>
          <w:szCs w:val="28"/>
        </w:rPr>
        <w:t xml:space="preserve">% по </w:t>
      </w:r>
      <w:r>
        <w:rPr>
          <w:rFonts w:ascii="Times New Roman" w:hAnsi="Times New Roman"/>
          <w:sz w:val="28"/>
          <w:szCs w:val="28"/>
        </w:rPr>
        <w:t xml:space="preserve">следующим направлениям расходов: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медицинскую помощь, оказанную в медицинских организациях Чукотского автономного</w:t>
      </w:r>
      <w:r>
        <w:rPr>
          <w:rFonts w:ascii="Times New Roman" w:hAnsi="Times New Roman"/>
          <w:sz w:val="28"/>
          <w:szCs w:val="28"/>
        </w:rPr>
        <w:t xml:space="preserve"> округа гражданам, застрахованным на территории Чукотского автономного округа (подтвержденная реестрами счетов с учетом контрольно-экспертных мероприятий качества оказания медицинской помощи за январь-декабрь 2024 года) – 4 032 748,3 тыс. рублей;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средства, направленные СМО в медицинские организации в порядке авансирования за декабрь 2025 года, не подтвержденные на конец отчетного периода счетами медицинских организаций на оплату медицинской помощи – 291 559,5 тыс. рублей;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медицинскую помощь, оказанную гражданам Чукотского автономного округа в медицинских организациях других субъектов Российской Федерации – 89 136,9   тыс. рублей (получили медицинскую помощь 13 897 человек);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содержание страховой медицинской организации (с учетом окончательного расчета за 2024 год в январе 2025 года в сумме 779,2 тыс. рублей) – 35 892,3 тыс. 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709" w:leader="none"/>
          <w:tab w:val="left" w:pos="1134" w:leader="none"/>
        </w:tabs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7. </w:t>
      </w:r>
      <w:r>
        <w:rPr>
          <w:rFonts w:ascii="Times New Roman" w:hAnsi="Times New Roman"/>
          <w:sz w:val="28"/>
          <w:szCs w:val="28"/>
        </w:rPr>
        <w:t xml:space="preserve">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отмечается </w:t>
      </w:r>
      <w:r>
        <w:rPr>
          <w:rFonts w:ascii="Times New Roman" w:hAnsi="Times New Roman"/>
          <w:sz w:val="28"/>
          <w:szCs w:val="28"/>
        </w:rPr>
        <w:t xml:space="preserve">увеличение объемов фактически оказанной медицинской помощи в рамках Территориальной программы ОМС практически по всем видам медицинской помощи, за исключением амбулаторно-поликлинической в неотложной форме и стационарной медицинской помощи.</w:t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/>
          <w:sz w:val="28"/>
          <w:szCs w:val="28"/>
        </w:rPr>
        <w:t xml:space="preserve">На ОМС неработающего населения округа 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направлено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712 292,7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</w:t>
      </w:r>
      <w:r>
        <w:rPr>
          <w:rFonts w:ascii="Times New Roman" w:hAnsi="Times New Roman"/>
          <w:sz w:val="28"/>
          <w:szCs w:val="28"/>
        </w:rPr>
        <w:t xml:space="preserve"> в соответствии с р</w:t>
      </w:r>
      <w:r>
        <w:rPr>
          <w:rFonts w:ascii="Times New Roman" w:hAnsi="Times New Roman"/>
          <w:sz w:val="28"/>
          <w:szCs w:val="28"/>
        </w:rPr>
        <w:t xml:space="preserve">асходны</w:t>
      </w:r>
      <w:r>
        <w:rPr>
          <w:rFonts w:ascii="Times New Roman" w:hAnsi="Times New Roman"/>
          <w:sz w:val="28"/>
          <w:szCs w:val="28"/>
        </w:rPr>
        <w:t xml:space="preserve">ми</w:t>
      </w:r>
      <w:r>
        <w:rPr>
          <w:rFonts w:ascii="Times New Roman" w:hAnsi="Times New Roman"/>
          <w:sz w:val="28"/>
          <w:szCs w:val="28"/>
        </w:rPr>
        <w:t xml:space="preserve"> обязательства</w:t>
      </w:r>
      <w:r>
        <w:rPr>
          <w:rFonts w:ascii="Times New Roman" w:hAnsi="Times New Roman"/>
          <w:sz w:val="28"/>
          <w:szCs w:val="28"/>
        </w:rPr>
        <w:t xml:space="preserve">ми</w:t>
      </w:r>
      <w:r>
        <w:rPr>
          <w:rFonts w:ascii="Times New Roman" w:hAnsi="Times New Roman"/>
          <w:sz w:val="28"/>
          <w:szCs w:val="28"/>
        </w:rPr>
        <w:t xml:space="preserve"> окружного бюджета.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9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/>
          <w:sz w:val="28"/>
          <w:szCs w:val="28"/>
        </w:rPr>
        <w:t xml:space="preserve">В целях обеспечения финансовой устойчивости системы ОМС на территории округа </w:t>
      </w:r>
      <w:r>
        <w:rPr>
          <w:rFonts w:ascii="Times New Roman" w:hAnsi="Times New Roman"/>
          <w:bCs/>
          <w:sz w:val="28"/>
          <w:szCs w:val="28"/>
        </w:rPr>
        <w:t xml:space="preserve">в отчетном периоде сформирован НСЗ в объеме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266 08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Расходы за счет средств</w:t>
      </w:r>
      <w:r>
        <w:rPr>
          <w:rFonts w:ascii="Times New Roman" w:hAnsi="Times New Roman"/>
          <w:sz w:val="28"/>
          <w:szCs w:val="28"/>
        </w:rPr>
        <w:t xml:space="preserve"> НСЗ осуществлялись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на цели, предусмотренные Законом о бюджете Фонда,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составили </w:t>
      </w:r>
      <w:r>
        <w:rPr>
          <w:rFonts w:ascii="Times New Roman" w:hAnsi="Times New Roman"/>
          <w:sz w:val="28"/>
          <w:szCs w:val="28"/>
        </w:rPr>
        <w:t xml:space="preserve">257 676,7</w:t>
      </w:r>
      <w:r>
        <w:rPr>
          <w:rFonts w:ascii="Times New Roman" w:hAnsi="Times New Roman"/>
          <w:sz w:val="28"/>
          <w:szCs w:val="28"/>
        </w:rPr>
        <w:t xml:space="preserve"> тыс. 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/>
          <w:sz w:val="28"/>
          <w:szCs w:val="28"/>
        </w:rPr>
        <w:t xml:space="preserve">Бюджет Фонда в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году исполнялся в соответствии с </w:t>
      </w:r>
      <w:r>
        <w:rPr>
          <w:rFonts w:ascii="Times New Roman" w:hAnsi="Times New Roman"/>
          <w:sz w:val="28"/>
          <w:szCs w:val="28"/>
        </w:rPr>
        <w:t xml:space="preserve">Законом</w:t>
      </w:r>
      <w:r>
        <w:rPr>
          <w:rFonts w:ascii="Times New Roman" w:hAnsi="Times New Roman"/>
          <w:sz w:val="28"/>
          <w:szCs w:val="28"/>
        </w:rPr>
        <w:t xml:space="preserve"> Чукотского автономного округа «О бюджете Чукотского территориального фонда обязательного медицинского страхования на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</w:rPr>
        <w:t xml:space="preserve">,  Федеральным законом «Об обязательном медицинском страховании в Российской Федерации» и Территориальной программой обязательного медицинского страхования на территории Чукотского автономного округа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ascii="Times New Roman" w:hAnsi="Times New Roman"/>
          <w:b/>
          <w:bCs/>
          <w:color w:val="ff0000"/>
          <w:sz w:val="28"/>
          <w:szCs w:val="28"/>
          <w:highlight w:val="none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b/>
          <w:bCs/>
          <w:color w:val="ff0000"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color w:val="ff0000"/>
          <w:sz w:val="28"/>
          <w:szCs w:val="28"/>
          <w:highlight w:val="none"/>
        </w:rPr>
      </w:r>
      <w:r>
        <w:rPr>
          <w:rFonts w:ascii="Times New Roman" w:hAnsi="Times New Roman"/>
          <w:b/>
          <w:color w:val="ff0000"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color w:val="ff0000"/>
          <w:sz w:val="28"/>
          <w:szCs w:val="28"/>
        </w:rPr>
      </w:r>
      <w:r>
        <w:rPr>
          <w:rFonts w:ascii="Times New Roman" w:hAnsi="Times New Roman"/>
          <w:b/>
          <w:bCs/>
          <w:color w:val="ff0000"/>
          <w:sz w:val="28"/>
          <w:szCs w:val="28"/>
        </w:rPr>
      </w:r>
      <w:r>
        <w:rPr>
          <w:rFonts w:ascii="Times New Roman" w:hAnsi="Times New Roman"/>
          <w:b/>
          <w:bCs/>
          <w:color w:val="ff0000"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</w:rPr>
        <w:t xml:space="preserve">Предложения: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bCs/>
          <w:color w:val="ff0000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Заключение о результатах экспертно-аналитического мероприятия </w:t>
      </w:r>
      <w:r>
        <w:rPr>
          <w:rFonts w:ascii="Times New Roman" w:hAnsi="Times New Roman"/>
          <w:bCs/>
          <w:sz w:val="28"/>
          <w:szCs w:val="28"/>
        </w:rPr>
        <w:t xml:space="preserve">«Внешняя проверка годового отчета </w:t>
      </w:r>
      <w:r>
        <w:rPr>
          <w:rFonts w:ascii="Times New Roman" w:hAnsi="Times New Roman"/>
          <w:iCs/>
          <w:sz w:val="28"/>
          <w:szCs w:val="28"/>
        </w:rPr>
        <w:t xml:space="preserve">об исполнении бюджета Чукотского территориального фонда обязательного медицинского страхования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за 202</w:t>
      </w:r>
      <w:r>
        <w:rPr>
          <w:rFonts w:ascii="Times New Roman" w:hAnsi="Times New Roman"/>
          <w:iCs/>
          <w:sz w:val="28"/>
          <w:szCs w:val="28"/>
        </w:rPr>
        <w:t xml:space="preserve">5</w:t>
      </w:r>
      <w:r>
        <w:rPr>
          <w:rFonts w:ascii="Times New Roman" w:hAnsi="Times New Roman"/>
          <w:iCs/>
          <w:sz w:val="28"/>
          <w:szCs w:val="28"/>
        </w:rPr>
        <w:t xml:space="preserve"> год» </w:t>
      </w:r>
      <w:r>
        <w:rPr>
          <w:rFonts w:ascii="Times New Roman" w:hAnsi="Times New Roman"/>
          <w:sz w:val="28"/>
          <w:szCs w:val="28"/>
        </w:rPr>
        <w:t xml:space="preserve">направить </w:t>
      </w:r>
      <w:r>
        <w:rPr>
          <w:rFonts w:ascii="Times New Roman" w:hAnsi="Times New Roman"/>
          <w:sz w:val="28"/>
          <w:szCs w:val="28"/>
        </w:rPr>
        <w:t xml:space="preserve">Губернатору </w:t>
      </w:r>
      <w:r>
        <w:rPr>
          <w:rFonts w:ascii="Times New Roman" w:hAnsi="Times New Roman"/>
          <w:sz w:val="28"/>
          <w:szCs w:val="28"/>
        </w:rPr>
        <w:t xml:space="preserve">и в Думу </w:t>
      </w:r>
      <w:r>
        <w:rPr>
          <w:rFonts w:ascii="Times New Roman" w:hAnsi="Times New Roman"/>
          <w:sz w:val="28"/>
          <w:szCs w:val="28"/>
        </w:rPr>
        <w:t xml:space="preserve">Чукотского автономного округа.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Л.П. Шадрина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экспертно-аналитического мероприятия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«Экспертиза п</w:t>
      </w:r>
      <w:r>
        <w:rPr>
          <w:rFonts w:ascii="Times New Roman" w:hAnsi="Times New Roman" w:cs="Times New Roman"/>
          <w:b/>
          <w:sz w:val="28"/>
          <w:szCs w:val="28"/>
        </w:rPr>
        <w:t xml:space="preserve">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закона Чукотского автономного округа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«Об исполнении бюджета Чукотского территориального фонда обязательного медицинского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страхования  за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</w:t>
      </w:r>
      <w:r>
        <w:rPr>
          <w:rFonts w:ascii="Times New Roman" w:hAnsi="Times New Roman"/>
        </w:rPr>
        <w:t xml:space="preserve">тверждено Коллегией Счетной палаты Чукотского автономного округа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center"/>
        <w:spacing w:before="0" w:beforeAutospacing="0" w:after="0" w:afterAutospacing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</w:t>
      </w:r>
      <w:r>
        <w:rPr>
          <w:rFonts w:ascii="Times New Roman" w:hAnsi="Times New Roman"/>
        </w:rPr>
        <w:t xml:space="preserve">протокол от </w:t>
      </w:r>
      <w:r>
        <w:rPr>
          <w:rFonts w:ascii="Times New Roman" w:hAnsi="Times New Roman"/>
        </w:rPr>
        <w:t xml:space="preserve">5 мая</w:t>
      </w:r>
      <w:r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года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7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sz w:val="28"/>
          <w:szCs w:val="28"/>
        </w:rPr>
        <w:t xml:space="preserve">Заключение Счетно</w:t>
      </w:r>
      <w:r>
        <w:rPr>
          <w:sz w:val="28"/>
          <w:szCs w:val="28"/>
        </w:rPr>
        <w:t xml:space="preserve">й палаты Чукотского автономного округа (далее – Счетная палата) на проект закона Чукотского автономного округа «Об исполнении бюджета Чукотского территориального фонда обязательного медицинского страхования за 2025 год» (далее – Законопроект) подготовлено </w:t>
      </w:r>
      <w:r>
        <w:rPr>
          <w:sz w:val="28"/>
          <w:szCs w:val="28"/>
        </w:rPr>
        <w:t xml:space="preserve">в соответствии с Бюджетным кодексом Российской Федерации, пунктом 7 части 1 статьи 9 Федерального закона от 7</w:t>
      </w:r>
      <w:r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 xml:space="preserve">2011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со статьей 2 Закона Чукотского автономного округа от 30</w:t>
      </w:r>
      <w:r>
        <w:rPr>
          <w:sz w:val="28"/>
          <w:szCs w:val="28"/>
        </w:rPr>
        <w:t xml:space="preserve"> июня </w:t>
      </w:r>
      <w:r>
        <w:rPr>
          <w:sz w:val="28"/>
          <w:szCs w:val="28"/>
        </w:rPr>
        <w:t xml:space="preserve">1998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36-ОЗ «</w:t>
      </w:r>
      <w:r>
        <w:rPr>
          <w:sz w:val="28"/>
          <w:szCs w:val="28"/>
        </w:rPr>
        <w:t xml:space="preserve">О Счетной палате Чукотского автономного округа», статьей 8 Закона Чукотского автономного округа от 24</w:t>
      </w:r>
      <w:r>
        <w:rPr>
          <w:sz w:val="28"/>
          <w:szCs w:val="28"/>
        </w:rPr>
        <w:t xml:space="preserve"> мая </w:t>
      </w:r>
      <w:r>
        <w:rPr>
          <w:sz w:val="28"/>
          <w:szCs w:val="28"/>
        </w:rPr>
        <w:t xml:space="preserve">2002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31-ОЗ «О бюджетном процессе в Чукотском</w:t>
      </w:r>
      <w:r>
        <w:rPr>
          <w:sz w:val="28"/>
          <w:szCs w:val="28"/>
        </w:rPr>
        <w:t xml:space="preserve"> автономном округе» и Стандартом внешнего государственного финансового контроля «Проведение экспертизы проектов законов и иных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 Чукотского автономного округа», утвержденным приказом Счетной палаты Чукотского автономного округа от </w:t>
      </w:r>
      <w:r>
        <w:rPr>
          <w:rFonts w:ascii="Times New Roman" w:hAnsi="Times New Roman" w:cs="Times New Roman"/>
          <w:sz w:val="28"/>
          <w:szCs w:val="28"/>
        </w:rPr>
        <w:t xml:space="preserve">25 сентября 2024 года № 56-о/д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экспертизы установлено следующее.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Законопроект представлен в Счетную палату Думой Чукотского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округа в установленны</w:t>
      </w:r>
      <w:r>
        <w:rPr>
          <w:rFonts w:ascii="Times New Roman" w:hAnsi="Times New Roman" w:cs="Times New Roman"/>
          <w:sz w:val="28"/>
          <w:szCs w:val="28"/>
        </w:rPr>
        <w:t xml:space="preserve">е законо</w:t>
      </w:r>
      <w:r>
        <w:rPr>
          <w:rFonts w:ascii="Times New Roman" w:hAnsi="Times New Roman" w:cs="Times New Roman"/>
          <w:sz w:val="28"/>
          <w:szCs w:val="28"/>
        </w:rPr>
        <w:t xml:space="preserve">дательством сроки.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подготовке Заключения использованы </w:t>
      </w:r>
      <w:r>
        <w:rPr>
          <w:rFonts w:ascii="Times New Roman" w:hAnsi="Times New Roman" w:cs="Times New Roman"/>
          <w:sz w:val="28"/>
          <w:szCs w:val="28"/>
        </w:rPr>
        <w:t xml:space="preserve">результаты внешней проверки годово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отчета об исполнении бюджета </w:t>
      </w:r>
      <w:r>
        <w:rPr>
          <w:rFonts w:ascii="Times New Roman" w:hAnsi="Times New Roman"/>
          <w:sz w:val="28"/>
          <w:szCs w:val="28"/>
        </w:rPr>
        <w:t xml:space="preserve">Чукотского территориального фонда обязательного медицинского страхования за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(далее – бюджет Фонда)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Законопроекта и приложений к нему соответствуют показателям отчета об исполнении бюджета </w:t>
      </w:r>
      <w:r>
        <w:rPr>
          <w:rFonts w:ascii="Times New Roman" w:hAnsi="Times New Roman"/>
          <w:sz w:val="28"/>
          <w:szCs w:val="28"/>
        </w:rPr>
        <w:t xml:space="preserve">Фонда</w:t>
      </w:r>
      <w:r>
        <w:rPr>
          <w:rFonts w:ascii="Times New Roman" w:hAnsi="Times New Roman"/>
          <w:sz w:val="28"/>
          <w:szCs w:val="28"/>
        </w:rPr>
        <w:t xml:space="preserve"> за 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202</w:t>
      </w:r>
      <w:r>
        <w:rPr>
          <w:rFonts w:ascii="Times New Roman" w:hAnsi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/>
          <w:color w:val="000000"/>
          <w:sz w:val="28"/>
          <w:szCs w:val="28"/>
        </w:rPr>
        <w:t xml:space="preserve"> году бюджет Фонда исполнен</w:t>
      </w:r>
      <w:r>
        <w:rPr>
          <w:rFonts w:ascii="Times New Roman" w:hAnsi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доходам в сумме </w:t>
      </w:r>
      <w:r>
        <w:rPr>
          <w:rFonts w:ascii="Times New Roman" w:hAnsi="Times New Roman"/>
          <w:sz w:val="28"/>
          <w:szCs w:val="28"/>
        </w:rPr>
        <w:t xml:space="preserve">4 691 980,7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тыс. рублей или 10</w:t>
      </w:r>
      <w:r>
        <w:rPr>
          <w:rFonts w:ascii="Times New Roman" w:hAnsi="Times New Roman"/>
          <w:color w:val="000000"/>
          <w:sz w:val="28"/>
          <w:szCs w:val="28"/>
        </w:rPr>
        <w:t xml:space="preserve">0,3</w:t>
      </w:r>
      <w:r>
        <w:rPr>
          <w:rFonts w:ascii="Times New Roman" w:hAnsi="Times New Roman"/>
          <w:color w:val="000000"/>
          <w:sz w:val="28"/>
          <w:szCs w:val="28"/>
        </w:rPr>
        <w:t xml:space="preserve">% плановых назначений</w:t>
      </w:r>
      <w:r>
        <w:rPr>
          <w:rFonts w:ascii="Times New Roman" w:hAnsi="Times New Roman"/>
          <w:color w:val="000000"/>
          <w:sz w:val="28"/>
          <w:szCs w:val="28"/>
        </w:rPr>
        <w:t xml:space="preserve">, утвержденных </w:t>
      </w:r>
      <w:r>
        <w:rPr>
          <w:rFonts w:ascii="Times New Roman" w:hAnsi="Times New Roman" w:cs="Times New Roman"/>
          <w:sz w:val="28"/>
          <w:szCs w:val="28"/>
        </w:rPr>
        <w:t xml:space="preserve">Закон</w:t>
      </w:r>
      <w:r>
        <w:rPr>
          <w:rFonts w:ascii="Times New Roman" w:hAnsi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 от 9 декабря 2024 года № 82-ОЗ «О бюджете Чукотского территориального фонда обязательного медицинского страхования на 2025 год и на плановый период 2026 и 2027 годов» (далее – Закон о бюджете Фонда)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расходам </w:t>
      </w:r>
      <w:r>
        <w:rPr>
          <w:rFonts w:ascii="Times New Roman" w:hAnsi="Times New Roman" w:eastAsia="Times New Roman"/>
          <w:sz w:val="28"/>
          <w:szCs w:val="28"/>
        </w:rPr>
        <w:t xml:space="preserve">в сумме </w:t>
      </w:r>
      <w:r>
        <w:rPr>
          <w:rFonts w:ascii="Times New Roman" w:hAnsi="Times New Roman"/>
          <w:sz w:val="28"/>
          <w:szCs w:val="28"/>
        </w:rPr>
        <w:t xml:space="preserve">4 688 593,4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тыс. рублей или 99,8</w:t>
      </w:r>
      <w:r>
        <w:rPr>
          <w:rFonts w:ascii="Times New Roman" w:hAnsi="Times New Roman"/>
          <w:color w:val="000000"/>
          <w:sz w:val="28"/>
          <w:szCs w:val="28"/>
        </w:rPr>
        <w:t xml:space="preserve">% </w:t>
      </w:r>
      <w:r>
        <w:rPr>
          <w:rFonts w:ascii="Times New Roman" w:hAnsi="Times New Roman"/>
          <w:color w:val="000000"/>
          <w:sz w:val="28"/>
          <w:szCs w:val="28"/>
        </w:rPr>
        <w:t xml:space="preserve">плановых назначений</w:t>
      </w:r>
      <w:r>
        <w:rPr>
          <w:rFonts w:ascii="Times New Roman" w:hAnsi="Times New Roman"/>
          <w:color w:val="000000"/>
          <w:sz w:val="28"/>
          <w:szCs w:val="28"/>
        </w:rPr>
        <w:t xml:space="preserve">, утвержденных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З</w:t>
      </w:r>
      <w:r>
        <w:rPr>
          <w:rFonts w:ascii="Times New Roman" w:hAnsi="Times New Roman"/>
          <w:color w:val="000000"/>
          <w:sz w:val="28"/>
          <w:szCs w:val="28"/>
        </w:rPr>
        <w:t xml:space="preserve">аконом о бюджете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Фонда </w:t>
      </w:r>
      <w:r>
        <w:rPr>
          <w:rFonts w:ascii="Times New Roman" w:hAnsi="Times New Roman"/>
          <w:color w:val="000000"/>
          <w:sz w:val="28"/>
          <w:szCs w:val="28"/>
        </w:rPr>
        <w:t xml:space="preserve">(99,7% </w:t>
      </w:r>
      <w:r>
        <w:rPr>
          <w:rFonts w:ascii="Times New Roman" w:hAnsi="Times New Roman"/>
          <w:color w:val="000000"/>
          <w:sz w:val="28"/>
          <w:szCs w:val="28"/>
        </w:rPr>
        <w:t xml:space="preserve">от объемов </w:t>
      </w:r>
      <w:r>
        <w:rPr>
          <w:rFonts w:ascii="Times New Roman" w:hAnsi="Times New Roman" w:eastAsia="Times New Roman"/>
          <w:sz w:val="28"/>
          <w:szCs w:val="28"/>
        </w:rPr>
        <w:t xml:space="preserve">ассигнований, утвержденных сводной росписью расходов бюджета Фонда</w:t>
      </w:r>
      <w:r>
        <w:rPr>
          <w:rFonts w:ascii="Times New Roman" w:hAnsi="Times New Roman" w:eastAsia="Times New Roman"/>
          <w:sz w:val="28"/>
          <w:szCs w:val="28"/>
        </w:rPr>
        <w:t xml:space="preserve">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рофицит </w:t>
      </w:r>
      <w:r>
        <w:rPr>
          <w:rFonts w:ascii="Times New Roman" w:hAnsi="Times New Roman"/>
          <w:sz w:val="28"/>
          <w:szCs w:val="28"/>
        </w:rPr>
        <w:t xml:space="preserve">бюджета Фонда </w:t>
      </w:r>
      <w:r>
        <w:rPr>
          <w:rFonts w:ascii="Times New Roman" w:hAnsi="Times New Roman"/>
          <w:sz w:val="28"/>
          <w:szCs w:val="28"/>
        </w:rPr>
        <w:t xml:space="preserve">составил 3 387,3 тыс. рублей при плановом </w:t>
      </w:r>
      <w:r>
        <w:rPr>
          <w:rFonts w:ascii="Times New Roman" w:hAnsi="Times New Roman"/>
          <w:sz w:val="28"/>
          <w:szCs w:val="28"/>
        </w:rPr>
        <w:t xml:space="preserve">значении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дефицита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утвержденном</w:t>
      </w:r>
      <w:r>
        <w:rPr>
          <w:rFonts w:ascii="Times New Roman" w:hAnsi="Times New Roman"/>
          <w:color w:val="000000"/>
          <w:sz w:val="28"/>
          <w:szCs w:val="28"/>
        </w:rPr>
        <w:t xml:space="preserve"> З</w:t>
      </w:r>
      <w:r>
        <w:rPr>
          <w:rFonts w:ascii="Times New Roman" w:hAnsi="Times New Roman"/>
          <w:color w:val="000000"/>
          <w:sz w:val="28"/>
          <w:szCs w:val="28"/>
        </w:rPr>
        <w:t xml:space="preserve">аконом о бюджете</w:t>
      </w:r>
      <w:r>
        <w:rPr>
          <w:rFonts w:ascii="Times New Roman" w:hAnsi="Times New Roman"/>
          <w:color w:val="000000"/>
          <w:sz w:val="28"/>
          <w:szCs w:val="28"/>
        </w:rPr>
        <w:t xml:space="preserve"> Фонда</w:t>
      </w:r>
      <w:r>
        <w:rPr>
          <w:rFonts w:ascii="Times New Roman" w:hAnsi="Times New Roman"/>
          <w:color w:val="000000"/>
          <w:sz w:val="28"/>
          <w:szCs w:val="28"/>
        </w:rPr>
        <w:t xml:space="preserve">, в размере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22 916,2</w:t>
      </w:r>
      <w:r>
        <w:rPr>
          <w:rFonts w:ascii="Times New Roman" w:hAnsi="Times New Roman" w:eastAsia="Times New Roman"/>
          <w:b/>
          <w:bCs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 рублей. </w:t>
      </w: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Бюджет Фонда по расходам исполнен в пределах объемов бюджетных назначений, утвержденных сводной росписью расходов бюджета Фонда.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Основные характеристики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исполнения бюджета Фонда за 2025</w:t>
      </w:r>
      <w:r>
        <w:rPr>
          <w:rFonts w:ascii="Times New Roman" w:hAnsi="Times New Roman"/>
          <w:color w:val="000000"/>
          <w:sz w:val="28"/>
          <w:szCs w:val="28"/>
        </w:rPr>
        <w:t xml:space="preserve"> год, указанные в статье 1, статье 2 и приложениях к Законопроекту, соответствуют показателям отчета об исполнении бюджета Фонда и бю</w:t>
      </w:r>
      <w:r>
        <w:rPr>
          <w:rFonts w:ascii="Times New Roman" w:hAnsi="Times New Roman"/>
          <w:color w:val="000000"/>
          <w:sz w:val="28"/>
          <w:szCs w:val="28"/>
        </w:rPr>
        <w:t xml:space="preserve">джетной отчетности Фонда за 2025</w:t>
      </w:r>
      <w:r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 xml:space="preserve">, представленного в Счетную палату для проведения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внешней проверки годового отчета об исполнении бюджета</w:t>
      </w:r>
      <w:r>
        <w:rPr>
          <w:rFonts w:ascii="Times New Roman" w:hAnsi="Times New Roman"/>
          <w:color w:val="000000"/>
          <w:sz w:val="28"/>
          <w:szCs w:val="28"/>
        </w:rPr>
        <w:t xml:space="preserve"> Фонда</w:t>
      </w:r>
      <w:r>
        <w:rPr>
          <w:rFonts w:ascii="Times New Roman" w:hAnsi="Times New Roman"/>
          <w:color w:val="000000"/>
          <w:sz w:val="28"/>
          <w:szCs w:val="28"/>
        </w:rPr>
        <w:t xml:space="preserve">, за исключением: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объема доходов по КБК </w:t>
      </w:r>
      <w:r>
        <w:rPr>
          <w:rFonts w:ascii="Times New Roman" w:hAnsi="Times New Roman"/>
          <w:color w:val="000000"/>
          <w:sz w:val="28"/>
          <w:szCs w:val="28"/>
        </w:rPr>
        <w:t xml:space="preserve">1 13 02000 00 0000 130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1 13 02990 00 0000 130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1 13 02999 09 0000 130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1 16 00000 00 0000 000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1 16 10100 09 0000 140</w:t>
      </w:r>
      <w:r>
        <w:rPr>
          <w:rFonts w:ascii="Times New Roman" w:hAnsi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объема расходов по КБК </w:t>
      </w:r>
      <w:r>
        <w:rPr>
          <w:rFonts w:ascii="Times New Roman" w:hAnsi="Times New Roman"/>
          <w:color w:val="000000"/>
          <w:sz w:val="28"/>
          <w:szCs w:val="28"/>
        </w:rPr>
        <w:t xml:space="preserve">09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09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73 8 00 97070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600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09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09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73 8 00 98090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500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целях обеспечения соответствия </w:t>
      </w:r>
      <w:r>
        <w:rPr>
          <w:rFonts w:ascii="Times New Roman" w:hAnsi="Times New Roman"/>
          <w:color w:val="000000"/>
          <w:sz w:val="28"/>
          <w:szCs w:val="28"/>
        </w:rPr>
        <w:t xml:space="preserve">объемов доходов и расходов по вышеуказанным КБК с </w:t>
      </w:r>
      <w:r>
        <w:rPr>
          <w:rFonts w:ascii="Times New Roman" w:hAnsi="Times New Roman"/>
          <w:color w:val="000000"/>
          <w:sz w:val="28"/>
          <w:szCs w:val="28"/>
        </w:rPr>
        <w:t xml:space="preserve">бюджетной отчетност</w:t>
      </w:r>
      <w:r>
        <w:rPr>
          <w:rFonts w:ascii="Times New Roman" w:hAnsi="Times New Roman"/>
          <w:color w:val="000000"/>
          <w:sz w:val="28"/>
          <w:szCs w:val="28"/>
        </w:rPr>
        <w:t xml:space="preserve">ью Фонда</w:t>
      </w:r>
      <w:r>
        <w:rPr>
          <w:rFonts w:ascii="Times New Roman" w:hAnsi="Times New Roman"/>
          <w:color w:val="000000"/>
          <w:sz w:val="28"/>
          <w:szCs w:val="28"/>
        </w:rPr>
        <w:t xml:space="preserve"> (с учетом правил округления), а также </w:t>
      </w:r>
      <w:r>
        <w:rPr>
          <w:rFonts w:ascii="Times New Roman" w:hAnsi="Times New Roman"/>
          <w:color w:val="000000"/>
          <w:sz w:val="28"/>
          <w:szCs w:val="28"/>
        </w:rPr>
        <w:t xml:space="preserve">устранения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отдельны</w:t>
      </w:r>
      <w:r>
        <w:rPr>
          <w:rFonts w:ascii="Times New Roman" w:hAnsi="Times New Roman"/>
          <w:color w:val="000000"/>
          <w:sz w:val="28"/>
          <w:szCs w:val="28"/>
        </w:rPr>
        <w:t xml:space="preserve">х</w:t>
      </w:r>
      <w:r>
        <w:rPr>
          <w:rFonts w:ascii="Times New Roman" w:hAnsi="Times New Roman"/>
          <w:color w:val="000000"/>
          <w:sz w:val="28"/>
          <w:szCs w:val="28"/>
        </w:rPr>
        <w:t xml:space="preserve"> замечани</w:t>
      </w:r>
      <w:r>
        <w:rPr>
          <w:rFonts w:ascii="Times New Roman" w:hAnsi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/>
          <w:color w:val="000000"/>
          <w:sz w:val="28"/>
          <w:szCs w:val="28"/>
        </w:rPr>
        <w:t xml:space="preserve"> юридико-технического характера</w:t>
      </w:r>
      <w:r>
        <w:rPr>
          <w:rFonts w:ascii="Times New Roman" w:hAnsi="Times New Roman"/>
          <w:color w:val="000000"/>
          <w:sz w:val="28"/>
          <w:szCs w:val="28"/>
        </w:rPr>
        <w:t xml:space="preserve"> Счетная палата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предлагает внести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 xml:space="preserve">Законопроект </w:t>
      </w:r>
      <w:r>
        <w:rPr>
          <w:rFonts w:ascii="Times New Roman" w:hAnsi="Times New Roman"/>
          <w:color w:val="000000"/>
          <w:sz w:val="28"/>
          <w:szCs w:val="28"/>
        </w:rPr>
        <w:t xml:space="preserve">следующие </w:t>
      </w:r>
      <w:r>
        <w:rPr>
          <w:rFonts w:ascii="Times New Roman" w:hAnsi="Times New Roman"/>
          <w:color w:val="000000"/>
          <w:sz w:val="28"/>
          <w:szCs w:val="28"/>
        </w:rPr>
        <w:t xml:space="preserve">изменения</w:t>
      </w:r>
      <w:r>
        <w:rPr>
          <w:rFonts w:ascii="Times New Roman" w:hAnsi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в приложении 1: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наименование изложить в следующей редакции: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center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«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Поступление прогнозируемых доходов бюджета</w:t>
      </w:r>
      <w:r>
        <w:rPr>
          <w:rFonts w:ascii="Times New Roman" w:hAnsi="Times New Roman"/>
          <w:b/>
          <w:color w:val="000000"/>
          <w:sz w:val="28"/>
          <w:szCs w:val="28"/>
        </w:rPr>
      </w: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4379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Чукотского территориального фонда обязательного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4379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медицинского страхования за 2025 год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шапку</w:t>
      </w:r>
      <w:r>
        <w:rPr>
          <w:rFonts w:ascii="Times New Roman" w:hAnsi="Times New Roman"/>
          <w:color w:val="000000"/>
          <w:sz w:val="28"/>
          <w:szCs w:val="28"/>
        </w:rPr>
        <w:t xml:space="preserve"> таблицы изложить</w:t>
      </w:r>
      <w:r>
        <w:rPr>
          <w:rFonts w:ascii="Times New Roman" w:hAnsi="Times New Roman"/>
          <w:color w:val="000000"/>
          <w:sz w:val="28"/>
          <w:szCs w:val="28"/>
        </w:rPr>
        <w:t xml:space="preserve"> в следующей редакции: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255" w:type="dxa"/>
        <w:tblInd w:w="96" w:type="dxa"/>
        <w:tblLook w:val="04A0" w:firstRow="1" w:lastRow="0" w:firstColumn="1" w:lastColumn="0" w:noHBand="0" w:noVBand="1"/>
      </w:tblPr>
      <w:tblGrid>
        <w:gridCol w:w="2941"/>
        <w:gridCol w:w="3492"/>
        <w:gridCol w:w="1474"/>
        <w:gridCol w:w="1348"/>
      </w:tblGrid>
      <w:tr>
        <w:tblPrEx/>
        <w:trPr>
          <w:trHeight w:val="8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Код бюджетной классификации Российской Федерации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1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доходов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Утверждено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законом о бюджете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</w:tr>
    </w:tbl>
    <w:p>
      <w:pPr>
        <w:pStyle w:val="4379"/>
        <w:ind w:right="-144" w:hanging="142"/>
        <w:jc w:val="right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строки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255" w:type="dxa"/>
        <w:tblInd w:w="96" w:type="dxa"/>
        <w:tblLook w:val="04A0" w:firstRow="1" w:lastRow="0" w:firstColumn="1" w:lastColumn="0" w:noHBand="0" w:noVBand="1"/>
      </w:tblPr>
      <w:tblGrid>
        <w:gridCol w:w="2979"/>
        <w:gridCol w:w="3553"/>
        <w:gridCol w:w="1418"/>
        <w:gridCol w:w="1305"/>
      </w:tblGrid>
      <w:tr>
        <w:tblPrEx/>
        <w:trPr>
          <w:trHeight w:val="34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1 13 02000 00 0000 130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18 974,0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21 632,1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6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1 13 02990 00 0000 130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18 974,0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21 632,1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8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1 13 02999 09 0000 130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доходы от компенсации затрат бюджетов территориальных фондов обязательного медицинского страхования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18 974,0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21 632,1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1 16 00000 00 0000 000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4 634,9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5 453,5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4379"/>
        <w:ind w:right="-144"/>
        <w:jc w:val="right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заменить строками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255" w:type="dxa"/>
        <w:tblInd w:w="96" w:type="dxa"/>
        <w:tblLook w:val="04A0" w:firstRow="1" w:lastRow="0" w:firstColumn="1" w:lastColumn="0" w:noHBand="0" w:noVBand="1"/>
      </w:tblPr>
      <w:tblGrid>
        <w:gridCol w:w="2979"/>
        <w:gridCol w:w="3553"/>
        <w:gridCol w:w="1418"/>
        <w:gridCol w:w="1305"/>
      </w:tblGrid>
      <w:tr>
        <w:tblPrEx/>
        <w:trPr>
          <w:trHeight w:val="3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1 13 02000 00 0000 130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18 974,0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21 632,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1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1 13 02990 00 0000 130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доходы от компенсации затрат государства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18 974,0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21 632,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8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1 13 02999 09 0000 130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доходы от компенсации затрат бюджетов территориальных фондов обязательного медицинского страхования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18 974,0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21 632,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1 16 00000 00 0000 000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ШТРАФЫ, САНКЦИИ, ВОЗМЕЩЕНИЕ УЩЕРБА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4 634,9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5 453,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4379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строку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255" w:type="dxa"/>
        <w:tblInd w:w="96" w:type="dxa"/>
        <w:tblLook w:val="04A0" w:firstRow="1" w:lastRow="0" w:firstColumn="1" w:lastColumn="0" w:noHBand="0" w:noVBand="1"/>
      </w:tblPr>
      <w:tblGrid>
        <w:gridCol w:w="2979"/>
        <w:gridCol w:w="3553"/>
        <w:gridCol w:w="1418"/>
        <w:gridCol w:w="1305"/>
      </w:tblGrid>
      <w:tr>
        <w:tblPrEx/>
        <w:trPr>
          <w:trHeight w:val="3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pStyle w:val="4378"/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1 16 10100 09 0000 140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pStyle w:val="4378"/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Денежные взыскания, налагаемые в возмещение ущерба, причиненного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4378"/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результате незаконного или нецелевого использования бюджетных средств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4378"/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(в части территориальных фондов обязательного медицинского страхования)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378"/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329,7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4379"/>
        <w:jc w:val="right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заменить строкой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255" w:type="dxa"/>
        <w:tblInd w:w="96" w:type="dxa"/>
        <w:tblLook w:val="04A0" w:firstRow="1" w:lastRow="0" w:firstColumn="1" w:lastColumn="0" w:noHBand="0" w:noVBand="1"/>
      </w:tblPr>
      <w:tblGrid>
        <w:gridCol w:w="2979"/>
        <w:gridCol w:w="3553"/>
        <w:gridCol w:w="1418"/>
        <w:gridCol w:w="1305"/>
      </w:tblGrid>
      <w:tr>
        <w:tblPrEx/>
        <w:trPr>
          <w:trHeight w:val="3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pStyle w:val="4378"/>
              <w:ind w:right="34"/>
              <w:jc w:val="center"/>
              <w:spacing w:before="0" w:beforeAutospacing="0" w:after="0" w:afterAutospacing="0" w:line="240" w:lineRule="auto"/>
              <w:tabs>
                <w:tab w:val="left" w:pos="567" w:leader="none"/>
                <w:tab w:val="left" w:pos="601" w:leader="none"/>
                <w:tab w:val="left" w:pos="3045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1 16 10100 09 0000 140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53" w:type="dxa"/>
            <w:vAlign w:val="center"/>
            <w:textDirection w:val="lrTb"/>
            <w:noWrap w:val="false"/>
          </w:tcPr>
          <w:p>
            <w:pPr>
              <w:pStyle w:val="4378"/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Денежные взыскания, налагаемые в возмещение ущерба, причиненного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4378"/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результате незаконного или нецелевого использования бюджетных средств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4378"/>
              <w:jc w:val="both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(в части территориальных фондов обязательного медицинского страхования)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378"/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tabs>
                <w:tab w:val="left" w:pos="567" w:leader="none"/>
              </w:tabs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329,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4379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в приложении 2: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наименование изложить в следующей редакции: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Распределение бюджетных ассигнований бюджета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4379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/>
      <w:bookmarkStart w:id="0" w:name="undefined"/>
      <w:r>
        <w:rPr>
          <w:rFonts w:ascii="Times New Roman" w:hAnsi="Times New Roman" w:cs="Times New Roman"/>
          <w:b/>
          <w:sz w:val="28"/>
          <w:szCs w:val="28"/>
        </w:rPr>
        <w:t xml:space="preserve">Чукотского территориального фонда обязательного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медицинского страхования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за 2025 год по разделам, подразделам, целевым статьям и группам видов расходов классификации расходов бюджета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шапку</w:t>
      </w:r>
      <w:r>
        <w:rPr>
          <w:rFonts w:ascii="Times New Roman" w:hAnsi="Times New Roman"/>
          <w:color w:val="000000"/>
          <w:sz w:val="28"/>
          <w:szCs w:val="28"/>
        </w:rPr>
        <w:t xml:space="preserve"> таблицы</w:t>
      </w:r>
      <w:r>
        <w:rPr>
          <w:rFonts w:ascii="Times New Roman" w:hAnsi="Times New Roman"/>
          <w:color w:val="000000"/>
          <w:sz w:val="28"/>
          <w:szCs w:val="28"/>
        </w:rPr>
        <w:t xml:space="preserve"> изложить в следующей редакции: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25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273"/>
        <w:gridCol w:w="425"/>
        <w:gridCol w:w="567"/>
        <w:gridCol w:w="1701"/>
        <w:gridCol w:w="671"/>
        <w:gridCol w:w="1342"/>
        <w:gridCol w:w="1276"/>
      </w:tblGrid>
      <w:tr>
        <w:tblPrEx/>
        <w:trPr>
          <w:trHeight w:val="4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2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расходов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64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Код бюджетной классификации Российской Федерации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2" w:type="dxa"/>
            <w:vAlign w:val="center"/>
            <w:vMerge w:val="restart"/>
            <w:textDirection w:val="lrTb"/>
            <w:noWrap w:val="false"/>
          </w:tcPr>
          <w:p>
            <w:pPr>
              <w:ind w:left="-35" w:right="-11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Утверждено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законом о бюджете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left="-35" w:right="-115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</w:tr>
      <w:tr>
        <w:tblPrEx/>
        <w:trPr>
          <w:trHeight w:val="286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Рз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ЦСР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ВР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4379"/>
        <w:ind w:hanging="142"/>
        <w:jc w:val="right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строки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25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273"/>
        <w:gridCol w:w="425"/>
        <w:gridCol w:w="567"/>
        <w:gridCol w:w="1701"/>
        <w:gridCol w:w="671"/>
        <w:gridCol w:w="1474"/>
        <w:gridCol w:w="1144"/>
      </w:tblGrid>
      <w:tr>
        <w:tblPrEx/>
        <w:trPr>
          <w:trHeight w:val="2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мероприятий по приобретению медицинского оборудования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73 8 00 97070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26 386,6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15 121,6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организации обязательного медицинского страхования на территориях субъектов Российской Федерации за счет нормированного страхового запаса (Межбюджетные трансферты)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73 8 00 98090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4 291,0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4 025,9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4379"/>
        <w:jc w:val="right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заменить строками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25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273"/>
        <w:gridCol w:w="425"/>
        <w:gridCol w:w="567"/>
        <w:gridCol w:w="1701"/>
        <w:gridCol w:w="671"/>
        <w:gridCol w:w="1474"/>
        <w:gridCol w:w="1144"/>
      </w:tblGrid>
      <w:tr>
        <w:tblPrEx/>
        <w:trPr>
          <w:trHeight w:val="2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мероприятий по приобретению медицинского оборудования (Предоставление субсидий бюджетным, автономным учреждениям и иным некоммерческим организациям)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73 8 00 97070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26 386,6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15 121,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3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организации обязательного медицинского страхования на территориях субъектов Российской Федерации за счет нормированного страхового запаса (Межбюджетные трансферты)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73 8 00 98090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4 291,0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4 025,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4379"/>
        <w:jc w:val="right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в приложении </w:t>
      </w:r>
      <w:r>
        <w:rPr>
          <w:rFonts w:ascii="Times New Roman" w:hAnsi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наименование изложить в следующей редакции: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right="-1"/>
        <w:jc w:val="center"/>
        <w:spacing w:before="0" w:beforeAutospacing="0" w:after="0" w:afterAutospacing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Источники внутреннего финансирования дефицита бюджета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before="0" w:beforeAutospacing="0" w:after="0" w:afterAutospacing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Чукотского территориального фонда обязательного медицинского страхования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 2025 год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шапку таблицы изложить</w:t>
      </w:r>
      <w:r>
        <w:rPr>
          <w:rFonts w:ascii="Times New Roman" w:hAnsi="Times New Roman"/>
          <w:color w:val="000000"/>
          <w:sz w:val="28"/>
          <w:szCs w:val="28"/>
        </w:rPr>
        <w:t xml:space="preserve"> в следующей редакции: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255" w:type="dxa"/>
        <w:tblInd w:w="96" w:type="dxa"/>
        <w:tblLook w:val="04A0" w:firstRow="1" w:lastRow="0" w:firstColumn="1" w:lastColumn="0" w:noHBand="0" w:noVBand="1"/>
      </w:tblPr>
      <w:tblGrid>
        <w:gridCol w:w="2941"/>
        <w:gridCol w:w="3492"/>
        <w:gridCol w:w="1474"/>
        <w:gridCol w:w="1348"/>
      </w:tblGrid>
      <w:tr>
        <w:tblPrEx/>
        <w:trPr>
          <w:trHeight w:val="85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Код бюджетной классификации Российской Федерации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1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Утверждено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законом о бюджете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</w:tr>
    </w:tbl>
    <w:p>
      <w:pPr>
        <w:pStyle w:val="4379"/>
        <w:ind w:right="-144" w:hanging="142"/>
        <w:jc w:val="right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Счетная палата предлагает Думе Чукотского автономного округа рассмотреть Законопроект в приложенной к настоящему Заключению редакции.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Аудитор Счетной палаты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Чукотского автономного округа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  <w:t xml:space="preserve">                Л.П. Шадрина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</w:rPr>
        <w:t xml:space="preserve">Заключение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b/>
          <w:sz w:val="28"/>
        </w:rPr>
      </w:pPr>
      <w:r>
        <w:rPr>
          <w:b/>
          <w:sz w:val="28"/>
        </w:rPr>
        <w:t xml:space="preserve">по результатам экспертно-аналитического мероприятия </w:t>
      </w:r>
      <w:bookmarkStart w:id="0" w:name="undefined"/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b/>
          <w:sz w:val="28"/>
        </w:rPr>
      </w:pPr>
      <w:r>
        <w:rPr>
          <w:b/>
          <w:sz w:val="28"/>
        </w:rPr>
        <w:t xml:space="preserve">«Оперативный контроль исполнения Закона о бюджете Чукотского территориального фонда обязательного медицинского страхования на текущий финансовый год» за 1 квартал 2026 года»</w:t>
      </w:r>
      <w:bookmarkEnd w:id="0"/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before="0" w:beforeAutospacing="0" w:after="0" w:afterAutospacing="0" w:line="240" w:lineRule="auto"/>
      </w:pPr>
      <w:r>
        <w:t xml:space="preserve">Утверждено Коллегией Счетной палаты Чукотского автономного округа </w:t>
      </w:r>
      <w:r/>
    </w:p>
    <w:p>
      <w:pPr>
        <w:jc w:val="center"/>
        <w:spacing w:before="0" w:beforeAutospacing="0" w:after="0" w:afterAutospacing="0" w:line="240" w:lineRule="auto"/>
        <w:rPr>
          <w:highlight w:val="none"/>
        </w:rPr>
      </w:pPr>
      <w:r>
        <w:t xml:space="preserve">(протокол от </w:t>
      </w:r>
      <w:r>
        <w:t xml:space="preserve">5</w:t>
      </w:r>
      <w:r>
        <w:t xml:space="preserve"> мая 2026 года №</w:t>
      </w:r>
      <w:r>
        <w:t xml:space="preserve"> </w:t>
      </w:r>
      <w:r>
        <w:rPr>
          <w:color w:val="auto"/>
        </w:rPr>
        <w:t xml:space="preserve">7</w:t>
      </w:r>
      <w:r>
        <w:t xml:space="preserve">)</w:t>
      </w:r>
      <w:r>
        <w:rPr>
          <w:highlight w:val="none"/>
        </w:rPr>
      </w:r>
      <w:r>
        <w:rPr>
          <w:highlight w:val="none"/>
        </w:rPr>
      </w:r>
    </w:p>
    <w:p>
      <w:pPr>
        <w:pStyle w:val="4444"/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b/>
          <w:sz w:val="28"/>
        </w:rPr>
        <w:t xml:space="preserve">Основание для проведения экспертно-аналитического мероприятия:</w:t>
      </w:r>
      <w:r>
        <w:rPr>
          <w:sz w:val="28"/>
        </w:rPr>
        <w:t xml:space="preserve"> пункт 2.5 Плана работы Счетной палаты Чукотского автономного округа на 2026 год, утвержденного решением Коллегии Счетной палаты (протокол от</w:t>
      </w:r>
      <w:r>
        <w:rPr>
          <w:sz w:val="28"/>
        </w:rPr>
        <w:t xml:space="preserve"> </w:t>
      </w:r>
      <w:r>
        <w:rPr>
          <w:sz w:val="28"/>
        </w:rPr>
        <w:t xml:space="preserve">26 декабря 2025 года № 31).</w:t>
      </w:r>
      <w:r>
        <w:rPr>
          <w:sz w:val="28"/>
        </w:rPr>
      </w:r>
      <w:r>
        <w:rPr>
          <w:sz w:val="28"/>
        </w:rPr>
      </w:r>
    </w:p>
    <w:p>
      <w:pPr>
        <w:pStyle w:val="4444"/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b/>
          <w:sz w:val="28"/>
        </w:rPr>
        <w:t xml:space="preserve">Предмет экспертно-аналитического мероприятия: </w:t>
      </w:r>
      <w:r>
        <w:rPr>
          <w:sz w:val="28"/>
        </w:rPr>
        <w:t xml:space="preserve">деятельность Чукотского территориального фонда об</w:t>
      </w:r>
      <w:r>
        <w:rPr>
          <w:sz w:val="28"/>
        </w:rPr>
        <w:t xml:space="preserve">язательного медицинского страхования по исполнению Закона Чукотского автономного округа от 8 декабря 2025 года № 100-ОЗ «О бюджете Чукотского территориального фонда обязательного медицинского страхования на 2026 год и на плановый период 2027 и 2028 годов» </w:t>
      </w:r>
      <w:bookmarkStart w:id="0" w:name="undefined"/>
      <w:r>
        <w:rPr>
          <w:sz w:val="28"/>
        </w:rPr>
        <w:t xml:space="preserve">и использование средств бюджета Чукотского территориального фонда обязательного медицинского страхования за 1 квартал 2026 года</w:t>
      </w:r>
      <w:bookmarkEnd w:id="0"/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4444"/>
        <w:ind w:firstLine="708"/>
        <w:jc w:val="both"/>
        <w:spacing w:before="0" w:beforeAutospacing="0" w:after="0" w:afterAutospacing="0" w:line="240" w:lineRule="auto"/>
        <w:rPr>
          <w:sz w:val="28"/>
        </w:rPr>
      </w:pPr>
      <w:r/>
      <w:bookmarkStart w:id="0" w:name="undefined"/>
      <w:r>
        <w:rPr>
          <w:b/>
          <w:sz w:val="28"/>
        </w:rPr>
        <w:t xml:space="preserve">Цели экспертно-аналитического мероприятия: </w:t>
      </w:r>
      <w:r>
        <w:rPr>
          <w:sz w:val="28"/>
        </w:rPr>
      </w:r>
      <w:r>
        <w:rPr>
          <w:sz w:val="28"/>
        </w:rPr>
      </w:r>
    </w:p>
    <w:p>
      <w:pPr>
        <w:pStyle w:val="4444"/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анализ полноты поступления доходов, включая межбюджетные трансферты бюджету Чукотского территориального фонда обязательного медицинского страхования за 1 квартал 2026 года;</w:t>
      </w:r>
      <w:r>
        <w:rPr>
          <w:sz w:val="28"/>
        </w:rPr>
      </w:r>
      <w:r>
        <w:rPr>
          <w:sz w:val="28"/>
        </w:rPr>
      </w:r>
    </w:p>
    <w:p>
      <w:pPr>
        <w:pStyle w:val="4444"/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анализ исполнения расходов и источников и источников внутреннего финансирования дефицита бюджета Чукотс</w:t>
      </w:r>
      <w:r>
        <w:rPr>
          <w:sz w:val="28"/>
        </w:rPr>
        <w:t xml:space="preserve">кого территориального фонда обязательного медицинского страхования (далее – бюджет Фонда) в сравнении с показателями, утвержденными законом округа о бюджете Чукотского территориального фонда обязательного медицинского страхования в текущем финансовом году.</w:t>
      </w:r>
      <w:r>
        <w:rPr>
          <w:sz w:val="28"/>
        </w:rPr>
      </w:r>
      <w:r>
        <w:rPr>
          <w:sz w:val="28"/>
        </w:rPr>
      </w:r>
    </w:p>
    <w:p>
      <w:pPr>
        <w:pStyle w:val="4444"/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b/>
          <w:sz w:val="28"/>
        </w:rPr>
        <w:t xml:space="preserve">Объект экспертно-аналитического </w:t>
      </w:r>
      <w:r>
        <w:rPr>
          <w:b/>
          <w:sz w:val="28"/>
        </w:rPr>
        <w:t xml:space="preserve">мероприятия:  </w:t>
      </w:r>
      <w:r>
        <w:rPr>
          <w:sz w:val="28"/>
        </w:rPr>
        <w:t xml:space="preserve">Чукотский</w:t>
      </w:r>
      <w:r>
        <w:rPr>
          <w:sz w:val="28"/>
        </w:rPr>
        <w:t xml:space="preserve"> территориальный фонд обязательного медицинского страхования (далее – Фонд). </w:t>
      </w:r>
      <w:r>
        <w:rPr>
          <w:sz w:val="28"/>
        </w:rPr>
      </w:r>
      <w:r>
        <w:rPr>
          <w:sz w:val="28"/>
        </w:rPr>
      </w:r>
    </w:p>
    <w:p>
      <w:pPr>
        <w:pStyle w:val="4444"/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b/>
          <w:sz w:val="28"/>
        </w:rPr>
        <w:t xml:space="preserve">Исследуемый период:</w:t>
      </w:r>
      <w:r>
        <w:rPr>
          <w:sz w:val="28"/>
        </w:rPr>
        <w:t xml:space="preserve"> январь-март 2026 года.</w:t>
      </w:r>
      <w:r>
        <w:rPr>
          <w:sz w:val="28"/>
        </w:rPr>
      </w:r>
      <w:r>
        <w:rPr>
          <w:sz w:val="28"/>
        </w:rPr>
      </w:r>
    </w:p>
    <w:p>
      <w:pPr>
        <w:pStyle w:val="4444"/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b/>
          <w:sz w:val="28"/>
        </w:rPr>
        <w:t xml:space="preserve">Сроки проведения экспертно-аналитического мероприятия: </w:t>
      </w:r>
      <w:r>
        <w:rPr>
          <w:sz w:val="28"/>
        </w:rPr>
        <w:t xml:space="preserve">с 23 апреля по 12 мая 2026 года.</w:t>
      </w:r>
      <w:bookmarkEnd w:id="0"/>
      <w:r>
        <w:rPr>
          <w:sz w:val="28"/>
        </w:rPr>
      </w:r>
      <w:r>
        <w:rPr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b/>
          <w:sz w:val="28"/>
        </w:rPr>
      </w:pPr>
      <w:r>
        <w:rPr>
          <w:b/>
          <w:sz w:val="28"/>
        </w:rPr>
        <w:t xml:space="preserve">Краткая характеристика предмета экспертно-аналитического мероприятия </w:t>
      </w:r>
      <w:r>
        <w:rPr>
          <w:b/>
          <w:sz w:val="28"/>
        </w:rPr>
      </w:r>
      <w:r>
        <w:rPr>
          <w:b/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Заключение Счетной палаты Чукотского автономного округа (далее – Счетная палата) по оперативному</w:t>
      </w:r>
      <w:r>
        <w:rPr>
          <w:sz w:val="28"/>
        </w:rPr>
        <w:t xml:space="preserve"> контролю исполнения Закона Чукотского автономного округа от 8 декабря 2025 года № 100-ОЗ «О бюджете Чукотского территориального фонда обязательного медицинского страхования на 2026 год и на плановый период 2027 и 2028 годов» (далее – Закон о бюджете Фонда</w:t>
      </w:r>
      <w:r>
        <w:rPr>
          <w:sz w:val="28"/>
        </w:rPr>
        <w:t xml:space="preserve">) подготовлено в соответствии со статьей 2 Закона Чукотского автономного округа от 30 июня 1998 года № 36-ОЗ «О Счетной палате Чукотского автономного округа», с учетом требований Бюджетного кодекса Российской Федерации, Закона Чукотского автономного округа</w:t>
      </w:r>
      <w:r>
        <w:t xml:space="preserve"> </w:t>
      </w:r>
      <w:r>
        <w:rPr>
          <w:sz w:val="28"/>
        </w:rPr>
        <w:t xml:space="preserve">от 24 мая 2002 года № 31-ОЗ «О бюджетном процессе в Чукотском автономном округе»</w:t>
      </w:r>
      <w:r>
        <w:rPr>
          <w:sz w:val="28"/>
        </w:rPr>
        <w:t xml:space="preserve"> (далее – Закон о бюджетном процессе)</w:t>
      </w:r>
      <w:r>
        <w:rPr>
          <w:sz w:val="28"/>
        </w:rPr>
        <w:t xml:space="preserve">, а также правовыми актами Федерального фонда обязательного медицинского страхования.</w:t>
      </w:r>
      <w:r>
        <w:rPr>
          <w:sz w:val="28"/>
        </w:rPr>
      </w:r>
      <w:r>
        <w:rPr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Для проведения экспертно-аналитическог</w:t>
      </w:r>
      <w:r>
        <w:rPr>
          <w:sz w:val="28"/>
        </w:rPr>
        <w:t xml:space="preserve">о мероприятия в Счетную палату представлены: отчет об исполнении бюджета Фонда по состоянию на 1 апреля 2026 года, справки по консолидируемым расчетам по счетам, пояснительная записка к отчету об исполнении бюджета Фонда по состоянию на 1 апреля 2026 года.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В результате проведенной экспертизы установлено следующее.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Бюджетная отчетность Фонда за отчетный период сформирована в 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>
        <w:rPr>
          <w:sz w:val="28"/>
        </w:rPr>
        <w:t xml:space="preserve">, утвержденной</w:t>
      </w:r>
      <w:r>
        <w:rPr>
          <w:sz w:val="28"/>
        </w:rPr>
        <w:t xml:space="preserve"> </w:t>
      </w:r>
      <w:r>
        <w:rPr>
          <w:sz w:val="28"/>
        </w:rPr>
        <w:t xml:space="preserve">Приказом Минфина России от 28 декабря 2010 года №</w:t>
      </w:r>
      <w:r>
        <w:rPr>
          <w:sz w:val="28"/>
        </w:rPr>
        <w:t xml:space="preserve"> </w:t>
      </w:r>
      <w:r>
        <w:rPr>
          <w:sz w:val="28"/>
        </w:rPr>
        <w:t xml:space="preserve">191н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В соответстви</w:t>
      </w:r>
      <w:r>
        <w:rPr>
          <w:sz w:val="28"/>
        </w:rPr>
        <w:t xml:space="preserve">и со статьей 215.1 Бюджетного кодекса Российской Федерации, статьей 9 Закона о бюджетном процессе, организация исполнения бюджета Фонда возлагается на орган управления Фондом, исполнение бюджета обеспечивается Правительством Чукотского автономного округа. </w:t>
      </w:r>
      <w:r>
        <w:rPr>
          <w:sz w:val="28"/>
        </w:rPr>
      </w:r>
      <w:r>
        <w:rPr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Законом о бюджете Фонда доходы и расходы на 2026 год утвер</w:t>
      </w:r>
      <w:r>
        <w:rPr>
          <w:sz w:val="28"/>
        </w:rPr>
        <w:t xml:space="preserve">ждены в объеме 5 319 278,8 тыс. рублей. Бюджет Фонда сформирован с соблюдением принципа сбалансированности, что соответствует требованиям статьи 33 Бюджетного кодекса Российской Федерации. В Закон о бюджете Фонда в отчетном периоде изменения не вносились. </w:t>
      </w:r>
      <w:r>
        <w:rPr>
          <w:sz w:val="28"/>
        </w:rPr>
      </w:r>
      <w:r>
        <w:rPr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  <w:shd w:val="clear" w:color="auto" w:fill="cdcdcd"/>
        </w:rPr>
      </w:pPr>
      <w:r>
        <w:rPr>
          <w:sz w:val="28"/>
        </w:rPr>
        <w:t xml:space="preserve">Анализ исполнения бюджета Фонда за 1 квартал 2026 года проведен путем сопоставления показателей отчета об исполнении бюджета (форма 0503117) с показателями, утвержденными Законом о бюджете Фонда и сводной росписью расходов бюджета Фонда.</w:t>
      </w:r>
      <w:r>
        <w:rPr>
          <w:sz w:val="28"/>
          <w:shd w:val="clear" w:color="auto" w:fill="cdcdcd"/>
        </w:rPr>
      </w:r>
      <w:r>
        <w:rPr>
          <w:sz w:val="28"/>
          <w:shd w:val="clear" w:color="auto" w:fill="cdcdcd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В январе-марте 2026 года в бюджет Фонда поступили доходы в объеме 1 381 236,1 тыс. рублей или 26,0% от годовых бюджетных назначений, расходы составили 913 629,8 тыс. рублей или 17,2% от годовых бюджетных назначений. </w:t>
      </w:r>
      <w:r>
        <w:rPr>
          <w:sz w:val="28"/>
        </w:rPr>
        <w:t xml:space="preserve">Бюджет Фонда исполнен с профицитом в размере 467 606,5 тыс. рублей.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/>
          <w:sz w:val="28"/>
        </w:rPr>
      </w:pPr>
      <w:r>
        <w:rPr>
          <w:b/>
          <w:sz w:val="28"/>
        </w:rPr>
        <w:t xml:space="preserve">1. Исполнение бюджета Фонда по доходам </w:t>
      </w:r>
      <w:r>
        <w:rPr>
          <w:b/>
          <w:sz w:val="28"/>
        </w:rPr>
      </w:r>
      <w:r>
        <w:rPr>
          <w:b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hd w:val="clear" w:color="auto" w:fill="cdcdcd"/>
        </w:rPr>
      </w:pPr>
      <w:r/>
      <w:bookmarkStart w:id="0" w:name="undefined"/>
      <w:r>
        <w:rPr>
          <w:sz w:val="28"/>
        </w:rPr>
        <w:t xml:space="preserve">В январе-марте 202</w:t>
      </w:r>
      <w:r>
        <w:rPr>
          <w:sz w:val="28"/>
        </w:rPr>
        <w:t xml:space="preserve">6</w:t>
      </w:r>
      <w:r>
        <w:rPr>
          <w:sz w:val="28"/>
        </w:rPr>
        <w:t xml:space="preserve"> года в бюджет Фонда поступили доходы в сумме 1 381 236,3 тыс. рублей или 26,0% от годовых бюджетных назначений и относительно доходов аналогичного периода прошлого года увеличились на 232 792,7 тыс. рублей или на 20,3%. </w:t>
      </w:r>
      <w:bookmarkEnd w:id="0"/>
      <w:r>
        <w:rPr>
          <w:sz w:val="28"/>
          <w:shd w:val="clear" w:color="auto" w:fill="cdcdcd"/>
        </w:rPr>
      </w:r>
      <w:r>
        <w:rPr>
          <w:sz w:val="28"/>
          <w:shd w:val="clear" w:color="auto" w:fill="cdcdcd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Структура доходов и информация об исполнении доходной части бюджета Фонда за январь-март 2026 года приведены в таблице № 1.</w:t>
      </w:r>
      <w:r>
        <w:rPr>
          <w:sz w:val="28"/>
        </w:rPr>
      </w:r>
      <w:r>
        <w:rPr>
          <w:sz w:val="28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Таблица № 1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4252"/>
        <w:gridCol w:w="1559"/>
        <w:gridCol w:w="1276"/>
        <w:gridCol w:w="1418"/>
        <w:gridCol w:w="1417"/>
      </w:tblGrid>
      <w:tr>
        <w:tblPrEx/>
        <w:trPr>
          <w:trHeight w:val="20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показателя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Утверждены ассигнования</w:t>
            </w:r>
            <w:r>
              <w:rPr>
                <w:sz w:val="18"/>
                <w:szCs w:val="18"/>
              </w:rPr>
              <w:t xml:space="preserve">, тыс. рублей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Исполнение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Структура доходов,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41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5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</w:t>
            </w:r>
            <w:r>
              <w:rPr>
                <w:sz w:val="18"/>
                <w:szCs w:val="18"/>
              </w:rPr>
              <w:t xml:space="preserve">умма</w:t>
            </w:r>
            <w:r>
              <w:rPr>
                <w:sz w:val="18"/>
                <w:szCs w:val="18"/>
              </w:rPr>
              <w:t xml:space="preserve">,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тыс. рублей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плану,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% гр.3/гр.2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4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ДОХОДЫ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5 319 278,8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1 381 236,3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26,0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НАЛОГОВЫЕ И НЕНАЛОГОВЫЕ ДОХОДЫ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18 212,8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8 620,4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47,3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0,6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432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18 212,8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6 422,6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27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Штрафы, санкции, возмещение ущерба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2 197,8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БЕЗВОЗМЕЗДНЫЕ ПОСТУПЛЕНИЯ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5 301 066,0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1 372 615,8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25,9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99,4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602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Межбюджетные трансферты, передаваемые бюджетам государственных внебюджетных фондов всего, в том числе: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5 301 066,0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1 374 325,2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25,9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99,5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43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Межбюджетные трансферты из окружного бюджета: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1 047 677,2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261 919,2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25,0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19,0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</w:tr>
      <w:tr>
        <w:tblPrEx/>
        <w:trPr>
          <w:trHeight w:val="877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Межбюджетные трансферты из бюджетов субъектов РФ, передаваемые территориальным фондам ОМС на дополнительное финансовое обеспечение реализации территориальной программы ОМС в части базовой программы ОМС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633 844,7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158 461,2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25,0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11,5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</w:tr>
      <w:tr>
        <w:tblPrEx/>
        <w:trPr>
          <w:trHeight w:val="98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Межбюджетные трансферты из бюджетов субъектов РФ, передаваемые территориальным фондам ОМС на финансовое обеспечение дополнительных видов и условий оказания медицинской помощи, не установленных базовой программой ОМС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413 832,5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103 458,0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25,0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7,5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</w:tr>
      <w:tr>
        <w:tblPrEx/>
        <w:trPr>
          <w:trHeight w:val="31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из бюджета ФФОМС: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4 127 688,8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1 086 860,1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4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Субвенции бюджетам территориальных фондов ОМС на финансовое обеспечение организации ОМС на территориях субъектов РФ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4 127 688,8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1 086 233,1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26,3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78,6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</w:tr>
      <w:tr>
        <w:tblPrEx/>
        <w:trPr>
          <w:trHeight w:val="113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Межбюджетные трансферты, передаваемые бюджетам территориальных фондов ОМС на финансовое обеспечение формирования НСЗ территориального фонда ОМС в целях </w:t>
            </w:r>
            <w:r>
              <w:rPr>
                <w:i/>
                <w:sz w:val="18"/>
                <w:szCs w:val="18"/>
              </w:rPr>
              <w:t xml:space="preserve">софинансирования</w:t>
            </w:r>
            <w:r>
              <w:rPr>
                <w:i/>
                <w:sz w:val="18"/>
                <w:szCs w:val="18"/>
              </w:rPr>
              <w:t xml:space="preserve"> расходов медицинских организаций на оплату труда врачей и ср</w:t>
            </w:r>
            <w:r>
              <w:rPr>
                <w:i/>
                <w:sz w:val="18"/>
                <w:szCs w:val="18"/>
              </w:rPr>
              <w:t xml:space="preserve">.</w:t>
            </w:r>
            <w:r>
              <w:rPr>
                <w:i/>
                <w:sz w:val="18"/>
                <w:szCs w:val="18"/>
              </w:rPr>
              <w:t xml:space="preserve"> медицинского персонала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0,0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626,1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-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0,0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</w:tr>
      <w:tr>
        <w:tblPrEx/>
        <w:trPr>
          <w:trHeight w:val="1418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Межбюджетные трансферты, пе</w:t>
            </w:r>
            <w:r>
              <w:rPr>
                <w:i/>
                <w:sz w:val="18"/>
                <w:szCs w:val="18"/>
              </w:rPr>
              <w:t xml:space="preserve">редаваемые бюджетам территориальных фондов ОМС на финансовое обеспечение осуществления денежных выплат стимулирующего характера медработникам за выявление онкологических заболеваний в ходе проведения диспансеризации и профилактических медосмотров населения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0,0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0,9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-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0,0</w: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</w:tr>
      <w:tr>
        <w:tblPrEx/>
        <w:trPr>
          <w:trHeight w:val="37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Прочие межбюджетные трансферты, передаваемые бюджетам территориальных фондов ОМС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125 700,0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25 545,9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80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Доходы бюджетов территориальных фондов ОМС от возврата остатков субсидий, субвенций и иных межбюджетных трансфертов, имеющих целевое назначение, прошлых лет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39,9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Возврат остатков субсидий, субвенций и иных межбюджетных трансфертов, имеющих целевое назначение, прошлых лет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-1 749,3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-0,1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sz w:val="28"/>
          <w:shd w:val="clear" w:color="auto" w:fill="cdcdcd"/>
        </w:rPr>
      </w:pPr>
      <w:r>
        <w:rPr>
          <w:rFonts w:ascii="Times New Roman" w:hAnsi="Times New Roman"/>
          <w:sz w:val="28"/>
        </w:rPr>
        <w:t xml:space="preserve">Налоговые и неналоговые доходы</w:t>
      </w:r>
      <w:r>
        <w:rPr>
          <w:rFonts w:ascii="Times New Roman" w:hAnsi="Times New Roman"/>
          <w:b w:val="0"/>
          <w:sz w:val="28"/>
        </w:rPr>
        <w:t xml:space="preserve"> за январь-</w:t>
      </w:r>
      <w:r>
        <w:rPr>
          <w:rFonts w:ascii="Times New Roman" w:hAnsi="Times New Roman"/>
          <w:b w:val="0"/>
          <w:sz w:val="28"/>
        </w:rPr>
        <w:t xml:space="preserve">март текущего года поступили в бюджет Фонда в объеме 8 620,4 тыс. рублей или 47,3% плановых назначений и в структуре доходов бюджета Фонда составили 0,6%. По сравнению с аналогичным периодом прошлого года объем поступлений увеличился на 127,0 тыс. рублей. </w:t>
      </w:r>
      <w:r>
        <w:rPr>
          <w:rFonts w:ascii="Times New Roman" w:hAnsi="Times New Roman"/>
          <w:b w:val="0"/>
          <w:sz w:val="28"/>
          <w:shd w:val="clear" w:color="auto" w:fill="cdcdcd"/>
        </w:rPr>
      </w:r>
      <w:r>
        <w:rPr>
          <w:rFonts w:ascii="Times New Roman" w:hAnsi="Times New Roman"/>
          <w:b w:val="0"/>
          <w:sz w:val="28"/>
          <w:shd w:val="clear" w:color="auto" w:fill="cdcdcd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Из них поступление по подгруппе доходов </w:t>
      </w:r>
      <w:r>
        <w:rPr>
          <w:rFonts w:ascii="Times New Roman" w:hAnsi="Times New Roman"/>
          <w:sz w:val="28"/>
        </w:rPr>
        <w:t xml:space="preserve">«Штрафы, санкции, возмещение ущерба» </w:t>
      </w:r>
      <w:r>
        <w:rPr>
          <w:rFonts w:ascii="Times New Roman" w:hAnsi="Times New Roman"/>
          <w:b w:val="0"/>
          <w:sz w:val="28"/>
        </w:rPr>
        <w:t xml:space="preserve">в январе-марте 2026 года сложились в объеме 2 197,8 тыс. рублей, в том числе: 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2 055,8 тыс</w:t>
      </w:r>
      <w:r>
        <w:rPr>
          <w:rFonts w:ascii="Times New Roman" w:hAnsi="Times New Roman"/>
          <w:b w:val="0"/>
          <w:sz w:val="28"/>
        </w:rPr>
        <w:t xml:space="preserve">. рублей – средства, возвращенные в бюджет Фонда в размере 50% от штрафных санкций, примененных страховой медицинской организацией к медицинским организациям за неоказание, несвоевременное оказание, либо оказание медицинской помощи ненадлежащего качества; 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7,4 тыс. рублей – штрафы, полученные от медицинских организаций, страховой медицинской организации, согласно актам проверок (</w:t>
      </w:r>
      <w:r>
        <w:rPr>
          <w:rFonts w:ascii="Times New Roman" w:hAnsi="Times New Roman"/>
          <w:b w:val="0"/>
          <w:sz w:val="28"/>
        </w:rPr>
        <w:t xml:space="preserve">реэкспертиз</w:t>
      </w:r>
      <w:r>
        <w:rPr>
          <w:rFonts w:ascii="Times New Roman" w:hAnsi="Times New Roman"/>
          <w:b w:val="0"/>
          <w:sz w:val="28"/>
        </w:rPr>
        <w:t xml:space="preserve">) Фонда; 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134,6 тыс. рублей – платежи по искам, предъ</w:t>
      </w:r>
      <w:r>
        <w:rPr>
          <w:rFonts w:ascii="Times New Roman" w:hAnsi="Times New Roman"/>
          <w:b w:val="0"/>
          <w:sz w:val="28"/>
        </w:rPr>
        <w:t xml:space="preserve">явленным Фондом, к лицам, ответственным за причинение вреда здоровью застрахованного лица, в целях возмещения расходов на оказание медицинской помощи. В сравнении с 1 кварталом 2025 года поступления по подгруппе доходов «Штрафы, санкции, возмещение ущерба»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в январе-марте 2026 года ув</w:t>
      </w:r>
      <w:r>
        <w:rPr>
          <w:rFonts w:ascii="Times New Roman" w:hAnsi="Times New Roman"/>
          <w:b w:val="0"/>
          <w:sz w:val="28"/>
        </w:rPr>
        <w:t xml:space="preserve">е</w:t>
      </w:r>
      <w:r>
        <w:rPr>
          <w:rFonts w:ascii="Times New Roman" w:hAnsi="Times New Roman"/>
          <w:b w:val="0"/>
          <w:sz w:val="28"/>
        </w:rPr>
        <w:t xml:space="preserve">личились на 501,3 тыс. рублей, или на 29,5%.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sz w:val="28"/>
        </w:rPr>
        <w:t xml:space="preserve">Основная часть доходов бюджета Фонда – 99,4%, сформирована за счет </w:t>
      </w:r>
      <w:r>
        <w:rPr>
          <w:rFonts w:ascii="Times New Roman" w:hAnsi="Times New Roman"/>
          <w:sz w:val="28"/>
        </w:rPr>
        <w:t xml:space="preserve">безвозмездных поступлений</w:t>
      </w:r>
      <w:r>
        <w:rPr>
          <w:rFonts w:ascii="Times New Roman" w:hAnsi="Times New Roman"/>
          <w:b w:val="0"/>
          <w:sz w:val="28"/>
        </w:rPr>
        <w:t xml:space="preserve">, объем которых за 1 квартал текущего года с учетом возврата остатков субсидий, субвенций и иных межбюджетных трансфертов,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имеющих целевое назначение, прошлых лет составил 1 372 615,8 тыс. рублей, или 25,9% годовых бюджетных назначений, из них: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1)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 межбюджетные трансферты, передаваемые бюджетам государственных внебюджетных фондов – 1 374 325,2 тыс. рублей, в том числе: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межбюджетные трансферты из окружного бюджета на дополнительное финансовое обеспечение реализации террито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риальной программы ОМС в части базовой и сверх базовой программ ОМС – 261 919,2 тыс. рублей или 25,0% от годовых бюджетных назначений, что на 155 252,1 тыс. рублей или почти в 1,5 раза больше объема трансфертов, поступивших в аналогичном периоде 2025 года;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ахования на территориях субъектов Российской Федерации  – 1 086 860,1 тыс. рублей, или 26,3% от годовых бюджетных назначений, что на 71 496,7 тыс. рублей или 7,0% больше объема трансфертов, поступивших в аналогичном периоде прошлого года, что обусловлено у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величением общего объема субвенций, предусмотренных на 2026 год из бюджета Федерального фонда ОМС бюджету территориального фонда ОМС на финансовое обеспечение организации обязательного медицинского страхования на территориях субъектов Российской Федерации;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межбюджетные трансферты, передаваемые бюджетам территориальных фондов обязательного медицинского страхования в целях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софинансирования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расходов медицинских организаций на оплату труда врачей и среднего медицинского персонала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-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626,1 тыс. рублей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межбюджетные трансферты, передаваемые бюджетам территориальных фондов обязательно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-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0,9 тыс. рублей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прочие межбюджетные трансферты, передаваемые бюджетам территориальных фондов ОМС в порядке межтерриториальных расчетов –           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22 545,9 тыс. рублей или 20,3% от годов</w:t>
      </w:r>
      <w:r>
        <w:rPr>
          <w:rFonts w:ascii="Times New Roman" w:hAnsi="Times New Roman"/>
          <w:sz w:val="28"/>
        </w:rPr>
        <w:t xml:space="preserve">ых бюджетных назначений, что на 2 663,7 тыс. рублей или 11,6% больше объема трансфертов, поступивших в аналогичном периоде прошлого </w:t>
      </w:r>
      <w:r>
        <w:rPr>
          <w:rFonts w:ascii="Times New Roman" w:hAnsi="Times New Roman"/>
          <w:sz w:val="28"/>
        </w:rPr>
        <w:t xml:space="preserve">года;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2)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 доходы бюджетов бюджетной системы Российской Федерации от возврата остатков субсидий, субвенций и иных межбюджетных трансфертов прошлых лет, имеющих целевое назначение – 39,9 тыс. рублей;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3)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 возврат остатков субсидий, субвенций, и иных межбюджетных трансфертов, имеющих целевое назначение, прошлых лет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–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1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749,3 тыс. рублей.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b/>
          <w:sz w:val="28"/>
        </w:rPr>
      </w:pPr>
      <w:r>
        <w:rPr>
          <w:b/>
          <w:sz w:val="28"/>
        </w:rPr>
        <w:t xml:space="preserve">2. Исполнение бюджета Фонда по расходам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sz w:val="28"/>
        </w:rPr>
        <w:t xml:space="preserve">Исполнение бюджета Фонда по расходам за 1 квартал 2026 года составило 913 629,8 тыс. рублей или 17,2% от годовых бюджетных назначений и относительно расходов в аналогичном периоде прошлого года             </w:t>
      </w:r>
      <w:r>
        <w:rPr>
          <w:sz w:val="28"/>
          <w:shd w:val="clear" w:color="auto" w:fill="cdcdcd"/>
        </w:rPr>
        <w:t xml:space="preserve">                                    </w:t>
      </w:r>
      <w:r>
        <w:rPr>
          <w:sz w:val="28"/>
        </w:rPr>
        <w:t xml:space="preserve">уменьшились на 13 692,4 тыс. рублей или 1,5%. Исполнение бюджета Фонда по расходам осуществлялось на основании потребност</w:t>
      </w:r>
      <w:r>
        <w:rPr>
          <w:sz w:val="28"/>
        </w:rPr>
        <w:t xml:space="preserve">и</w:t>
      </w:r>
      <w:r>
        <w:rPr>
          <w:sz w:val="28"/>
        </w:rPr>
        <w:t xml:space="preserve"> в финансовых средствах,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заявленной медицинскими организациями, действующими в системе ОМС Чукотского автономного округа.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Исполнение бюд</w:t>
      </w:r>
      <w:r>
        <w:rPr>
          <w:rFonts w:ascii="Times New Roman" w:hAnsi="Times New Roman"/>
          <w:sz w:val="28"/>
        </w:rPr>
        <w:t xml:space="preserve">жета Фонда по расходам за январь-март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2026 года и структура расходов представлены в таблице № 2.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Таблица № 2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4570"/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1417"/>
        <w:gridCol w:w="1276"/>
        <w:gridCol w:w="1275"/>
        <w:gridCol w:w="1134"/>
      </w:tblGrid>
      <w:tr>
        <w:tblPrEx/>
        <w:trPr>
          <w:trHeight w:val="2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  показателя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ind w:left="-137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Утверждены ассигнования</w:t>
            </w:r>
            <w:r>
              <w:rPr>
                <w:sz w:val="18"/>
                <w:szCs w:val="18"/>
              </w:rPr>
              <w:t xml:space="preserve">, тыс. рублей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Исполнение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left="-50" w:right="-188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Структура расходов,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9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</w:t>
            </w:r>
            <w:r>
              <w:rPr>
                <w:sz w:val="18"/>
                <w:szCs w:val="18"/>
              </w:rPr>
              <w:t xml:space="preserve">умма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тыс. рублей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плану,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гр.3/гр.2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РАСХОДЫ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5 319 278,8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913 629,8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17,2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100,0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ОБЩЕГОСУДАРСТВЕННЫЕ ВОПРОСЫ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77 212,7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17 335,7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22,5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141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Финансовое обеспечение организации обязательного медицинског</w:t>
            </w:r>
            <w:r>
              <w:rPr>
                <w:sz w:val="18"/>
                <w:szCs w:val="18"/>
              </w:rPr>
              <w:t xml:space="preserve">о страхования на территориях субъектов Российской Федерации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64 337,1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15 279,4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9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Закупки товаров, работ и услуг для государственных (муниципальных) нужд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12 871,4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2 052,1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бюджетные ассигнования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ЗДРАВООХРАНЕНИЕ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5 242 066,1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896 294,1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17,1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98,1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Территориальная программа ОМС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5 098 153,3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872 454,9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17,1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95,5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Финансовое обеспечение организации обязательного медицинского страхования на территориях субъектов РФ (Социальное обеспечение и иные выплаты населению)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3 980 476,1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624 625,6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Финансовое обеспечение организации обязательного медицинского страхования на территориях субъектов РФ (Межбюджетные трансферты)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70 000,0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32 670,5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территориальной программы ОМС в рамках базовой программы ОМС (Социальное обеспечение и иные выплаты населению)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633 844,7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133 247,6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территориальной программы обязательного медицинского страхования сверх базовой программы ОМС (Социальное обеспечение и иные выплаты населению) 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413 832,5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81 911,2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Непрограммные направления деятельности органов управления территориальных государственных внебюджетных фондов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143 912,8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23 839,2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16,6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2,6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ОМС на территории Чукотского автономного округа за счет иных источников (Социальное обеспечение и иные выплаты населению)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125 700,0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23 839,2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средствами нормированного страхового запаса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144" w:right="-96"/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18 212,8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sz w:val="28"/>
          <w:shd w:val="clear" w:color="auto" w:fill="cdcdcd"/>
        </w:rPr>
      </w:pPr>
      <w:r/>
      <w:bookmarkStart w:id="0" w:name="undefined"/>
      <w:r/>
      <w:bookmarkEnd w:id="0"/>
      <w:r>
        <w:rPr>
          <w:b/>
          <w:sz w:val="28"/>
        </w:rPr>
        <w:t xml:space="preserve">Расходы на выполнение управленческих функций Фонда (</w:t>
      </w:r>
      <w:r>
        <w:rPr>
          <w:sz w:val="28"/>
        </w:rPr>
        <w:t xml:space="preserve">раздел «Общегосударственные вопросы») в с</w:t>
      </w:r>
      <w:r>
        <w:rPr>
          <w:sz w:val="28"/>
        </w:rPr>
        <w:t xml:space="preserve">труктуре расходов бюджета Фонда составили 1,9% и в январе-марте 2026 года исполнены в сумме 17 335,7 тыс. рублей или 22,5% от годовых бюджетных назначений. По сравнению с аналогичным периодом прошлого года расходы уменьшились на 145,7 тыс. рублей или 0,8%.</w:t>
      </w:r>
      <w:r>
        <w:rPr>
          <w:sz w:val="28"/>
          <w:shd w:val="clear" w:color="auto" w:fill="cdcdcd"/>
        </w:rPr>
      </w:r>
      <w:r>
        <w:rPr>
          <w:sz w:val="28"/>
          <w:shd w:val="clear" w:color="auto" w:fill="cdcdcd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sz w:val="28"/>
          <w:shd w:val="clear" w:color="auto" w:fill="cdcdcd"/>
        </w:rPr>
      </w:pPr>
      <w:r>
        <w:rPr>
          <w:rFonts w:ascii="Times New Roman" w:hAnsi="Times New Roman"/>
          <w:b w:val="0"/>
          <w:sz w:val="28"/>
        </w:rPr>
        <w:t xml:space="preserve">Основная доля расходов бюджета Фонда – 98,1% или 896 294,1 тыс. рублей, направлена на расходы </w:t>
      </w:r>
      <w:r>
        <w:rPr>
          <w:rFonts w:ascii="Times New Roman" w:hAnsi="Times New Roman"/>
          <w:sz w:val="28"/>
        </w:rPr>
        <w:t xml:space="preserve">по разделу «Здравоохранение»</w:t>
      </w:r>
      <w:r>
        <w:rPr>
          <w:rFonts w:ascii="Times New Roman" w:hAnsi="Times New Roman"/>
          <w:b w:val="0"/>
          <w:sz w:val="28"/>
        </w:rPr>
        <w:t xml:space="preserve">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которые в сравнении с аналогичным периодом прошлого года уменьшились на 13 546,7 тыс. рублей или 1,5% в связи с уменьшением общего объема исполнения расходной части бюджета Фонда.</w:t>
      </w:r>
      <w:r>
        <w:rPr>
          <w:rFonts w:ascii="Times New Roman" w:hAnsi="Times New Roman"/>
          <w:b w:val="0"/>
          <w:sz w:val="28"/>
          <w:shd w:val="clear" w:color="auto" w:fill="cdcdcd"/>
        </w:rPr>
      </w:r>
      <w:r>
        <w:rPr>
          <w:rFonts w:ascii="Times New Roman" w:hAnsi="Times New Roman"/>
          <w:b w:val="0"/>
          <w:sz w:val="28"/>
          <w:shd w:val="clear" w:color="auto" w:fill="cdcdcd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Из общей суммы расходов на «Здравоохранение» расходы на реализацию </w:t>
      </w:r>
      <w:r>
        <w:rPr>
          <w:rFonts w:ascii="Times New Roman" w:hAnsi="Times New Roman"/>
          <w:sz w:val="28"/>
        </w:rPr>
        <w:t xml:space="preserve">территориальной программы ОМС</w:t>
      </w:r>
      <w:r>
        <w:rPr>
          <w:rFonts w:ascii="Times New Roman" w:hAnsi="Times New Roman"/>
          <w:b w:val="0"/>
          <w:sz w:val="28"/>
        </w:rPr>
        <w:t xml:space="preserve"> составили 872 454,9 тыс. рублей или 17,1% от утвержденных ассигнований.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sz w:val="28"/>
        </w:rPr>
        <w:t xml:space="preserve">В ходе проведения мероприятия выявлено 1 нарушение </w:t>
      </w:r>
      <w:bookmarkStart w:id="0" w:name="undefined"/>
      <w:r>
        <w:rPr>
          <w:sz w:val="28"/>
        </w:rPr>
        <w:t xml:space="preserve">порядка применения бюджетной классификации Российской Федерации</w:t>
      </w:r>
      <w:bookmarkEnd w:id="0"/>
      <w:r>
        <w:rPr>
          <w:sz w:val="28"/>
        </w:rPr>
        <w:t xml:space="preserve">, не имеющее финансовой оценки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несоответствие кодов </w:t>
      </w:r>
      <w:r>
        <w:rPr>
          <w:sz w:val="28"/>
        </w:rPr>
        <w:t xml:space="preserve">и наименований </w:t>
      </w:r>
      <w:r>
        <w:rPr>
          <w:sz w:val="28"/>
        </w:rPr>
        <w:t xml:space="preserve">целевых статей расходов бюджета Фонда, указанных в разделе 2 «Расходы бюджета» отчета об исполнении бюджета по форме 0503117 (ЦСР 97010, 97020), сводной  росписи расходов бюджета Фонда (в части кодов направлений расходов по выполнению территориальной прог</w:t>
      </w:r>
      <w:r>
        <w:rPr>
          <w:sz w:val="28"/>
        </w:rPr>
        <w:t xml:space="preserve">раммы обязательного медицинского страхования в рамках базовой и сверх базовой программы обязательного медицинского страхования), кодам, установленным приказом Департамента финансов и имущественных отношений Чукотского автономного округа от 23 декабря 2025 </w:t>
      </w:r>
      <w:r>
        <w:rPr>
          <w:sz w:val="28"/>
        </w:rPr>
        <w:t xml:space="preserve">года № 261 «Об утверждении Указаний о порядке формирования и применения кодов бюджетной классификации, относящейся к окружному бюджету и бюджету Чукотского территориального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фонда обязательного медицинского страхования, их структуре и принципах назначения».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pStyle w:val="4518"/>
        <w:ind w:firstLine="709"/>
        <w:jc w:val="both"/>
        <w:spacing w:before="0" w:beforeAutospacing="0" w:after="0" w:afterAutospacing="0" w:line="240" w:lineRule="auto"/>
        <w:tabs>
          <w:tab w:val="left" w:pos="720" w:leader="none"/>
          <w:tab w:val="left" w:pos="2700" w:leader="none"/>
          <w:tab w:val="left" w:pos="306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Расходы на непрограммные направления деятельности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составили            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                   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23 839,2 тыс. рублей </w:t>
      </w:r>
      <w:r>
        <w:rPr>
          <w:rFonts w:ascii="Times New Roman" w:hAnsi="Times New Roman"/>
          <w:sz w:val="28"/>
        </w:rPr>
        <w:t xml:space="preserve">или 16,6% от бюджетных </w:t>
      </w:r>
      <w:r>
        <w:rPr>
          <w:rFonts w:ascii="Times New Roman" w:hAnsi="Times New Roman"/>
          <w:sz w:val="28"/>
          <w:szCs w:val="28"/>
        </w:rPr>
        <w:t xml:space="preserve">назначений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направлен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  на</w:t>
      </w:r>
      <w:r>
        <w:rPr>
          <w:rFonts w:ascii="Times New Roman" w:hAnsi="Times New Roman"/>
          <w:sz w:val="28"/>
        </w:rPr>
        <w:t xml:space="preserve"> оплату счетов медицинских организаций за лечение иногородних граждан на территории Чукотского автономного округа.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highlight w:val="none"/>
        </w:rPr>
      </w:r>
      <w:r>
        <w:rPr>
          <w:b/>
          <w:sz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</w:rPr>
        <w:t xml:space="preserve">Выводы: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sz w:val="28"/>
        </w:rPr>
      </w:pPr>
      <w:r>
        <w:rPr>
          <w:sz w:val="28"/>
        </w:rPr>
        <w:t xml:space="preserve">1. Представленная Фондом бюджетная отчетность сформирована в соответствии с требованиями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>
        <w:rPr>
          <w:sz w:val="28"/>
        </w:rPr>
        <w:t xml:space="preserve">, утвержденной Приказом Минфина России от 28 декабря 2010 года № 191н.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2. В январе-марте 2026 года бюджет Фонда исполнен по доходам в объеме 1 381 236,3 тыс. рублей или 26,0% от годовых бюджетных назначений. 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Б</w:t>
      </w:r>
      <w:r>
        <w:rPr>
          <w:sz w:val="28"/>
        </w:rPr>
        <w:t xml:space="preserve">юджет Фо</w:t>
      </w:r>
      <w:r>
        <w:rPr>
          <w:sz w:val="28"/>
        </w:rPr>
        <w:t xml:space="preserve">нда по расходам исполнен в сумме 913 629,8 тыс. рублей или 17,2% от годовых бюджетных назначений, из них расходы на реализацию территориальной программы ОМС – 872 454,9 тыс. рублей, расходы на непрограммные направления деятельности – 23 839,2 тыс. рублей. 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hd w:val="clear" w:color="auto" w:fill="cdcdcd"/>
        </w:rPr>
      </w:pPr>
      <w:r>
        <w:rPr>
          <w:sz w:val="28"/>
        </w:rPr>
        <w:t xml:space="preserve">Исполнение бюджета Фонда по расходам осуществлялось на основании потребности в финансовых средствах, заявленной медицинскими организациями, действующими в системе ОМС Чукотского автономного округа.</w:t>
      </w:r>
      <w:r>
        <w:rPr>
          <w:sz w:val="28"/>
          <w:shd w:val="clear" w:color="auto" w:fill="cdcdcd"/>
        </w:rPr>
      </w:r>
      <w:r>
        <w:rPr>
          <w:sz w:val="28"/>
          <w:shd w:val="clear" w:color="auto" w:fill="cdcdcd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Бюджет Фонда в отчетном периоде исполнен с профицитом в размере 467 606,5 тыс. рублей.</w:t>
      </w:r>
      <w:r>
        <w:rPr>
          <w:sz w:val="28"/>
        </w:rPr>
      </w:r>
      <w:r>
        <w:rPr>
          <w:sz w:val="28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sz w:val="28"/>
        </w:rPr>
      </w:pPr>
      <w:r>
        <w:rPr>
          <w:sz w:val="28"/>
        </w:rPr>
        <w:tab/>
        <w:t xml:space="preserve">Бюджет Фонда в январе-марте 2026 года исполнен в соответствии с Законом Чукотского автономного округа «О бюджете Чукотского территориального фонда обязательного медицинского страхования на 2026 год и на плановый период 2027 и 2028 годов».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tabs>
          <w:tab w:val="left" w:pos="0" w:leader="none"/>
        </w:tabs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 xml:space="preserve">В ходе проведения мероприятия выявлен</w:t>
      </w:r>
      <w:r>
        <w:rPr>
          <w:sz w:val="28"/>
        </w:rPr>
        <w:t xml:space="preserve">о</w:t>
      </w:r>
      <w:r>
        <w:rPr>
          <w:sz w:val="28"/>
        </w:rPr>
        <w:t xml:space="preserve"> </w:t>
      </w:r>
      <w:r>
        <w:rPr>
          <w:sz w:val="28"/>
        </w:rPr>
        <w:t xml:space="preserve">1 </w:t>
      </w:r>
      <w:r>
        <w:rPr>
          <w:sz w:val="28"/>
        </w:rPr>
        <w:t xml:space="preserve">нарушени</w:t>
      </w:r>
      <w:r>
        <w:rPr>
          <w:sz w:val="28"/>
        </w:rPr>
        <w:t xml:space="preserve">е </w:t>
      </w:r>
      <w:r>
        <w:rPr>
          <w:sz w:val="28"/>
        </w:rPr>
        <w:t xml:space="preserve"> бюджетного</w:t>
      </w:r>
      <w:r>
        <w:rPr>
          <w:sz w:val="28"/>
        </w:rPr>
        <w:t xml:space="preserve"> законодательства, не имеющ</w:t>
      </w:r>
      <w:r>
        <w:rPr>
          <w:sz w:val="28"/>
        </w:rPr>
        <w:t xml:space="preserve">ее</w:t>
      </w:r>
      <w:r>
        <w:rPr>
          <w:sz w:val="28"/>
        </w:rPr>
        <w:t xml:space="preserve"> финансовой оценки</w:t>
      </w:r>
      <w:r>
        <w:rPr>
          <w:sz w:val="28"/>
        </w:rPr>
        <w:t xml:space="preserve">, выразившееся в нарушении </w:t>
      </w:r>
      <w:r>
        <w:rPr>
          <w:sz w:val="28"/>
        </w:rPr>
        <w:t xml:space="preserve">порядка применения бюджетной классификации Российской Федерации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/>
          <w:sz w:val="28"/>
        </w:rPr>
      </w:pPr>
      <w:r>
        <w:rPr>
          <w:b/>
          <w:sz w:val="28"/>
        </w:rPr>
        <w:t xml:space="preserve">Предложения:</w:t>
      </w:r>
      <w:r>
        <w:rPr>
          <w:b/>
          <w:sz w:val="28"/>
        </w:rPr>
      </w:r>
      <w:r>
        <w:rPr>
          <w:b/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 xml:space="preserve">Заключение</w:t>
      </w:r>
      <w:r>
        <w:rPr>
          <w:b/>
          <w:sz w:val="28"/>
        </w:rPr>
        <w:t xml:space="preserve"> </w:t>
      </w:r>
      <w:r>
        <w:rPr>
          <w:sz w:val="28"/>
        </w:rPr>
        <w:t xml:space="preserve">по результатам экспертно-аналитического мероприятия «Оперативный контроль исполнения Закона Чукотского автономного округа                          </w:t>
      </w:r>
      <w:r>
        <w:rPr>
          <w:sz w:val="28"/>
        </w:rPr>
        <w:t xml:space="preserve">   «</w:t>
      </w:r>
      <w:r>
        <w:rPr>
          <w:sz w:val="28"/>
        </w:rPr>
        <w:t xml:space="preserve">О бюджете Чукотского территориального фонда обязательного медицинского страхования на 2026 год и на плановый период 2027 и 2028 годов» за январь-март 2026 года» направить в Думу и Губернатору Чукотского автономного округа.</w:t>
      </w:r>
      <w:r>
        <w:rPr>
          <w:sz w:val="28"/>
        </w:rPr>
      </w:r>
      <w:r>
        <w:rPr>
          <w:sz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</w:pPr>
      <w:r>
        <w:rPr>
          <w:sz w:val="28"/>
        </w:rPr>
        <w:t xml:space="preserve">2. Направить информационное письмо Фонду с предложением привести </w:t>
      </w:r>
      <w:r>
        <w:rPr>
          <w:sz w:val="28"/>
        </w:rPr>
        <w:t xml:space="preserve">код</w:t>
      </w:r>
      <w:r>
        <w:rPr>
          <w:sz w:val="28"/>
        </w:rPr>
        <w:t xml:space="preserve">ы</w:t>
      </w:r>
      <w:r>
        <w:rPr>
          <w:sz w:val="28"/>
        </w:rPr>
        <w:t xml:space="preserve"> и наименовани</w:t>
      </w:r>
      <w:r>
        <w:rPr>
          <w:sz w:val="28"/>
        </w:rPr>
        <w:t xml:space="preserve">я</w:t>
      </w:r>
      <w:r>
        <w:rPr>
          <w:sz w:val="28"/>
        </w:rPr>
        <w:t xml:space="preserve"> целевых статей расходов бюджета Фонда</w:t>
      </w:r>
      <w:r>
        <w:rPr>
          <w:sz w:val="28"/>
        </w:rPr>
        <w:t xml:space="preserve"> в соответствие с требованиями статьи 21 Бюджетного кодекса Российской Федерации и </w:t>
      </w:r>
      <w:r>
        <w:rPr>
          <w:sz w:val="28"/>
        </w:rPr>
        <w:t xml:space="preserve">Указани</w:t>
      </w:r>
      <w:r>
        <w:rPr>
          <w:sz w:val="28"/>
        </w:rPr>
        <w:t xml:space="preserve">ями</w:t>
      </w:r>
      <w:r>
        <w:rPr>
          <w:sz w:val="28"/>
        </w:rPr>
        <w:t xml:space="preserve"> о порядке формирования и применения кодов бюджетной классификации, относящейся к окружному бюджету и бюджету Чукотского территориального фонда обязательного медицинского страхования, их структуре и принципах назначения</w:t>
      </w:r>
      <w:r>
        <w:rPr>
          <w:sz w:val="28"/>
        </w:rPr>
        <w:t xml:space="preserve">, утвержденными </w:t>
      </w:r>
      <w:r>
        <w:rPr>
          <w:sz w:val="28"/>
        </w:rPr>
        <w:t xml:space="preserve">приказом Департамента финансов и имущественных отношений Чукотского автономного округа от 23 декабря 2025 года № 261</w:t>
      </w:r>
      <w:r>
        <w:rPr>
          <w:sz w:val="28"/>
        </w:rPr>
        <w:t xml:space="preserve">, в срок до </w:t>
      </w:r>
      <w:r>
        <w:rPr>
          <w:sz w:val="28"/>
        </w:rPr>
        <w:t xml:space="preserve">29</w:t>
      </w:r>
      <w:r>
        <w:rPr>
          <w:sz w:val="28"/>
        </w:rPr>
        <w:t xml:space="preserve"> июня 2026 года.</w:t>
      </w:r>
      <w:r>
        <w:rPr>
          <w:sz w:val="28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  <w:highlight w:val="none"/>
        </w:rPr>
      </w:pPr>
      <w:r>
        <w:rPr>
          <w:sz w:val="28"/>
        </w:rPr>
        <w:t xml:space="preserve">Аудитор                                                                                                  Л.П. Шадрина</w:t>
      </w:r>
      <w:r>
        <w:rPr>
          <w:sz w:val="28"/>
        </w:rPr>
      </w:r>
      <w:r>
        <w:rPr>
          <w:sz w:val="28"/>
          <w:szCs w:val="28"/>
          <w:highlight w:val="none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 w:after="0" w:afterAutospacing="0" w:line="240" w:lineRule="auto"/>
        <w:tabs>
          <w:tab w:val="left" w:pos="7938" w:leader="none"/>
        </w:tabs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4361"/>
        <w:ind w:right="-284"/>
        <w:jc w:val="center"/>
        <w:keepNext w:val="0"/>
        <w:spacing w:before="0" w:beforeAutospacing="0" w:after="0" w:afterAutospacing="0" w:line="240" w:lineRule="auto"/>
        <w:rPr>
          <w:rFonts w:ascii="Times New Roman" w:hAnsi="Times New Roman"/>
          <w:bCs w:val="0"/>
          <w:i w:val="0"/>
          <w:iCs w:val="0"/>
          <w:caps/>
          <w:color w:val="auto"/>
        </w:rPr>
      </w:pPr>
      <w:r>
        <w:rPr>
          <w:rFonts w:ascii="Times New Roman" w:hAnsi="Times New Roman"/>
          <w:bCs w:val="0"/>
          <w:i w:val="0"/>
          <w:iCs w:val="0"/>
          <w:caps/>
          <w:color w:val="auto"/>
        </w:rPr>
        <w:t xml:space="preserve">Заключение</w:t>
      </w:r>
      <w:r>
        <w:rPr>
          <w:rFonts w:ascii="Times New Roman" w:hAnsi="Times New Roman"/>
          <w:bCs w:val="0"/>
          <w:i w:val="0"/>
          <w:iCs w:val="0"/>
          <w:caps/>
          <w:color w:val="auto"/>
        </w:rPr>
      </w:r>
      <w:r>
        <w:rPr>
          <w:rFonts w:ascii="Times New Roman" w:hAnsi="Times New Roman"/>
          <w:bCs w:val="0"/>
          <w:i w:val="0"/>
          <w:iCs w:val="0"/>
          <w:caps/>
          <w:color w:val="auto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экспертно-аналитического мероприятия «Внешняя проверка годового отчета об исполнении окружного бюджета за 2025 год»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утвержден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Коллегией 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Счетной палаты Чукотского автономного округа 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протокол от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19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мая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20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6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да №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 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8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Заключение Счетной палат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46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отчет 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окружного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за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 подготовлено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 требованиями пункта 2 статьи 264.4 Бюджетного кодекса Российской Федерации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47"/>
      </w:r>
      <w:r>
        <w:rPr>
          <w:rFonts w:ascii="Times New Roman" w:hAnsi="Times New Roman" w:cs="Times New Roman"/>
          <w:sz w:val="28"/>
          <w:szCs w:val="28"/>
        </w:rPr>
        <w:t xml:space="preserve">, статьи 41 Закона 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бюджетном процессе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48"/>
      </w:r>
      <w:r>
        <w:rPr>
          <w:rFonts w:ascii="Times New Roman" w:hAnsi="Times New Roman" w:cs="Times New Roman"/>
          <w:sz w:val="28"/>
          <w:szCs w:val="28"/>
        </w:rPr>
        <w:t xml:space="preserve">, статьи 2 Закона 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Счетной палате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49"/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иными нормативными правовыми актами Российской Федерации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Чукотского автономного округа, с использованием стандарта финансового контроля «Внешняя проверка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годового отчета об исполнении окружного бюджета Чукотского автономного округа»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50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264.4 Бюджетного кодекса Заключение Счетной </w:t>
      </w:r>
      <w:r>
        <w:rPr>
          <w:rFonts w:ascii="Times New Roman" w:hAnsi="Times New Roman" w:cs="Times New Roman"/>
          <w:sz w:val="28"/>
          <w:szCs w:val="28"/>
        </w:rPr>
        <w:t xml:space="preserve">палаты подготовлено с учетом данных комплекса внешних проверок годовой бюджетной отчетности главных администраторов средств окружного бюджета, по результатам которых составлен 2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акт, включая проверку Департамента финансов и имущественных отношений Чукотского автономного округа как органа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власти, </w:t>
      </w:r>
      <w:r>
        <w:rPr>
          <w:rFonts w:ascii="Times New Roman" w:hAnsi="Times New Roman" w:cs="Times New Roman"/>
          <w:sz w:val="28"/>
          <w:szCs w:val="28"/>
        </w:rPr>
        <w:t xml:space="preserve">являющегося </w:t>
      </w:r>
      <w:r>
        <w:rPr>
          <w:rFonts w:ascii="Times New Roman" w:hAnsi="Times New Roman" w:cs="Times New Roman"/>
          <w:sz w:val="28"/>
          <w:szCs w:val="28"/>
        </w:rPr>
        <w:t xml:space="preserve">ответственн</w:t>
      </w:r>
      <w:r>
        <w:rPr>
          <w:rFonts w:ascii="Times New Roman" w:hAnsi="Times New Roman" w:cs="Times New Roman"/>
          <w:sz w:val="28"/>
          <w:szCs w:val="28"/>
        </w:rPr>
        <w:t xml:space="preserve">ым</w:t>
      </w:r>
      <w:r>
        <w:rPr>
          <w:rFonts w:ascii="Times New Roman" w:hAnsi="Times New Roman" w:cs="Times New Roman"/>
          <w:sz w:val="28"/>
          <w:szCs w:val="28"/>
        </w:rPr>
        <w:t xml:space="preserve"> за составление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исполнение </w:t>
      </w:r>
      <w:r>
        <w:rPr>
          <w:rFonts w:ascii="Times New Roman" w:hAnsi="Times New Roman" w:cs="Times New Roman"/>
          <w:sz w:val="28"/>
          <w:szCs w:val="28"/>
        </w:rPr>
        <w:t xml:space="preserve">окружного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подготовке Заключения использованы </w:t>
      </w:r>
      <w:r>
        <w:rPr>
          <w:rFonts w:ascii="Times New Roman" w:hAnsi="Times New Roman" w:cs="Times New Roman"/>
          <w:sz w:val="28"/>
          <w:szCs w:val="28"/>
        </w:rPr>
        <w:t xml:space="preserve">результаты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материалы контрольных и экспертно-аналитических мероприятий, проведенных Счетной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палатой, дополнительные документы субъектов бюджетной отчетности, представленные по запросам, информация, размещенная в справочной правов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ой системе «Консультант Плюс», а также статистические данные, размещенные на официальном сайте Управления Федеральной службы государственной статистики по Хабаровскому краю, Магаданской области, Еврейской автономной области и Чукотскому автономному округу.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Отчет об исполнении окружного бюджета за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 представлен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Счетную палату в пределах срока, установленного пунк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том 2 статьи 41 Закона о бюджетном процессе (не позднее 15 апреля), и в составе форм, предусмотренных Инструкцией о порядке составления и представления годовой, квартальной и месячной отчетности об исполнении бюджетов бюджетной системы Российской Федерации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5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1. Макроэкономические условия исполнения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окружного бюджета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 характеристики окружного бюджета на 2025 год определены Законом об окружном бюджете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исходя из номинального прогнозного объема валового регионального продукта 313 245,06 млн рублей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об основных экономических показателях социально-экономического развития округа за 2024 и 2025 годы представлена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 таблице № 1.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 1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(млн рублей)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tbl>
      <w:tblPr>
        <w:tblW w:w="99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276"/>
        <w:gridCol w:w="1417"/>
        <w:gridCol w:w="1417"/>
        <w:gridCol w:w="1417"/>
        <w:gridCol w:w="1134"/>
      </w:tblGrid>
      <w:tr>
        <w:tblPrEx/>
        <w:trPr>
          <w:trHeight w:val="326"/>
          <w:tblHeader/>
        </w:trPr>
        <w:tc>
          <w:tcPr>
            <w:shd w:val="clear" w:color="ffffff" w:fill="ffffff"/>
            <w:tcW w:w="32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показателей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Исполнение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2024 год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vertAlign w:val="superscript"/>
              </w:rPr>
              <w:footnoteReference w:id="54"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Исполнение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(оценка)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vertAlign w:val="superscript"/>
              </w:rPr>
              <w:footnoteReference w:id="55"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W w:w="28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Темпы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роста (+)/ снижения (-)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Доля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0"/>
          <w:tblHeader/>
        </w:trPr>
        <w:tc>
          <w:tcPr>
            <w:tcW w:w="326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процент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0"/>
          <w:tblHeader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gridSpan w:val="6"/>
            <w:shd w:val="clear" w:color="ffffff" w:fill="ffffff"/>
            <w:tcW w:w="992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Основные показатели в стоимостном выражении, млн рублей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412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Объем отгруженных товаров собственного производства, выполненных работ и услуг, в том числе: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201 510,0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279 309,0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77 799,0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38,6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137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 добыча полезных ископаемых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13 450,8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11 066,3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-2 384,5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-17,7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 обрабатывающие производства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156 482,4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236 844,4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80 362,0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51,4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84,8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 электрическая энергия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30 820,8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30 551,2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-269,6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-0,9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10,9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 водоснабжение, водоотведение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756,0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847,1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91,1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0,3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Объем продукции сельского хозяйства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2 542,2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2 599,3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57,1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Инвестиции в основной капитал все источник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 финансирования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102 292,7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149 026,9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46 734,2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45,7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53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Оборот розничной торговли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17 447,1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19 922,4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2 475,3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14,2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98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Объем платных услуг населению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5 115,8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5 793,1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677,3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13,2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113"/>
        </w:trPr>
        <w:tc>
          <w:tcPr>
            <w:gridSpan w:val="6"/>
            <w:shd w:val="clear" w:color="ffffff" w:fill="ffffff"/>
            <w:tcW w:w="992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Относительные показатели, в процентном выражении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Индекс промышленного производства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108,6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106,8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342"/>
        </w:trPr>
        <w:tc>
          <w:tcPr>
            <w:shd w:val="clear" w:color="ffffff" w:fill="ffffff"/>
            <w:tcW w:w="326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Индекс потребительских цен на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товары и 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105,1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103,9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Объем отгруженных това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ров собственного производства, выполненных работ и услуг в 2025 году к показателю 2024 года вырос на 38,6 % и составил 279 309,0 млн рублей. Наибольшее увеличение значения объема производства наблюдается в обрабатывающих производствах (более чем на 51 %).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льший удельный вес в структуре объема отгруженных товаров собственного производства с большим отрывом приходится на обрабатывающие производства – 84,8 %, обеспечение электрической энергией, газом и паром составляет 10,9 %, добыча полезных ископаемых – 4 %.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обрабатывающего производства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как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году, приходится на металлургическое производство – 232 590,3 млн рублей или 98,2 % общего объема (236 844,4 млн рублей), 1,7 % или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4 112,9 млн рублей составляет в совокупности ремонт машин, оборудования и производство пищевых продуктов, и, в наименьшем объеме, переработка морских биоресурсов, производство напитков.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Производство электрической энергии в стоимостном выражении снизилось на 0,9 % и составило 30 551,2 млн рублей. Энергетическая отрасль в округе представлена предприятиями, использующими для генерации электрической энергии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различные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топлива и способ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производства: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Анадырская теплоэлектроцентраль – газ и уголь;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Анадырская газомоторная теплоэлектроцентраль – газ;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Филиал акционерного общества «Концерн Росэнергоатом» – Плавучая атомная теплоэлектростанция «Академик Ломоносов» – атомная энергетика;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Государственное предприятие Чукотского автономного округа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Чукоткоммунхоз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Муниципальное предприятие жилищно-коммунального хозяйства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Билибинского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района, Муниципальное предприятие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Чаунское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районное коммунальное хозяйство», Муниципальное унитарное предприятие жилищно-коммунального хозяйства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Иультинское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Муниципальное унитарное предприятие «Айсберг»,</w:t>
      </w:r>
      <w:r>
        <w:rPr>
          <w:rFonts w:ascii="Calibri" w:hAnsi="Calibri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Общество с ограниченной ответственностью «Энергоцентр Билибино» – дизельное топливо;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Эгвекинотская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государственная районная электростанция – бурый уголь;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Чаунская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теплоэлектроцентраль – каменный уголь.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121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с остановкой последнего энергоблока 30 декабря 2025 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Билибинская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атомная электростанция завершила этап промышленной эксплуатации.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ближайшие годы запланирована выгрузка со станции отработанного ядерного топлива и его транспортировка для дальнейшей переработки и утилизации.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территории округа осуществляется добыча золота, серебра, природного газа и угля (каменного и бурого).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добычу рудного золота осуществляли семь горнодобывающих компаний: Акционерное общество «Базовые металлы», Акционерное общество «Рудник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Каральвеем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Акционерное общество «Чукотская горно-геологическая компания», Общество с ограниченной ответственностью «ЗК Майское», Общество с ограниченной ответственностью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Канчалано-Амгуэмская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площадь»,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Общество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ограниченной ответственностью 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«Рудник Валунистый», Общество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ограниченной ответственностью «Северное золото».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Объем добытого золота в 2025 году составил 24,6 тонны золота, что на 0,4 % превышает уровень 2024 года (24,5 тонны).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Основной объем золота добыт на месторождениях «Купол» – 8 тонн,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Кекура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– 6,7 тонны, «Майское» – 4,5 тонны, что составляет 32,5 %, 27,2 % и 18,3 % всего объема добычи. На месторождении «Купол» добыча золота по сравнению с уровнем прошлого года снизилась на 0,6 тонны, на месторождении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Кекура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увеличилась на 0,6 тонны, на месторождении «Майское» увеличилась на 0,5 тонны. На месторождении «Двой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ное» производится переработка руды, добытой ранее, в количестве 0,2 тонны золота и 0,3 тонны серебра, что меньше уровня 2024 года на 0,3 тонны золота и на 1,2 тонны серебра. Полностью выработан ресурс участка Общества с ограниченной ответственностью «ГДК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Баимская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по добыче россыпного золота.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Общий объем добычи се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ребра в 2025 году по сравнению с 2024 годом снизился на 25,4 тонны (18,4 %) и составил 113 тонн. Основной объем серебра в 2025 году, также, как и в 2024 году, добыт на месторождении «Купол» – 104,5 тонны, что составляет 92,5 % общего объема добычи серебра.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На территории Чукотского автономного округа добычу каменного угля осуществляет Общество с ограниченной ответственностью «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Берингпромуголь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» (100 % участия – компания «ROSMIRO INVESTMENTS LIMITED»,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Р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еспублика Кипр) на месторождениях «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Фандюшкинское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поле», «Звонкое», «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Амаам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» и «Северный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Амаам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». Объем добычи составил 1 498,1 тыс. тонн, что меньше уровня 2024 года (1 578,1 тыс. тонн) на 5 %.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Добыча бурого угля Обществом с ограниченной ответственностью «Шахта Угольная» в отчетном периоде снизилась на 40 % по сравнению с прошлым периодом (95 тыс. тонн) и составила 70,8 тыс. тонн.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Тенденция снижения объемов добычи природного газа, осуществляемого</w:t>
      </w:r>
      <w:r>
        <w:rPr>
          <w:rFonts w:ascii="Calibri" w:hAnsi="Calibri" w:eastAsia="Times New Roman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Обществом с ограниченной ответственностью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«Сибнефть-Чукотка» на месторождении «Западно-Озерное» сохраняется. В 2025 году добыто 60,3 млн куб. м, что составляет 96 % объема добычи 2024 года (62,8 млн куб. м). В 2023 году добыча газа составила 66,5 млн куб. м, что превышает уровень 2024 года на 5,6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%. Снижение объемов добытого газа обусловлено уменьшением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пластового давления, несмотря на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значительный уровень остаточных запасов. Для увеличения производства требуется проведение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геолого-технических мероприятий и строительство дожимной компрессорной станции.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Производство продукции сельского хозяйства в действующих ценах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 2025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составило 2 599,3 млн рублей, что на 29 % выше уровня 2024 года (2 014,6 млн рублей). В отчетном периоде произведено мяса в живом весе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806,1 тонны (2024 год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799,8 тонны), молока 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22,5 тонны (2024 год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26,7 тонны), яиц 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11 569,7 тыс. штук (2024 год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9 014,6 тыс. штук). Производство мяса и яиц увеличилось на 0,8 % и 28,3 % соответственно, молока – снизилось на 15,7 %.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Объем оборота розничной торговли по итогам 2025 г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ода составил 19 922,4 млн рублей, что выше уровня 2024 года на 21,9 % (16 335,6 млн рублей). В структуре розничной торговли 62,6 % приходится на реализацию пищевых продуктов, включая напитки и табачные изделия, 37,4 % составляют непродовольственные товары.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Индекс промышленного производства в 2025 году составил 106,8 %, в 2024 году – 108,5 % (в 2023 году – 109,9 %). Незначительное снижение показателя по отношению к прошлому году обусловлено снижением объема добычи газа и ростом инфляции.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DejaVu Sans" w:cs="Times New Roman"/>
          <w:sz w:val="28"/>
          <w:szCs w:val="28"/>
          <w:highlight w:val="yellow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инвестировано в основной капитал 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149 026,9 млн рублей, в 2024 году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102 292,7 млн рублей (увеличение на 45,7 %). 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Рост объема инвестиций обусловлен реализацией инвестиционного проекта по освоению 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золото-медного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 месторождения «Песчанка» и золоторудного месторождения «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Кекура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» на территории 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Билибинского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 района и геологоразведочными работами, которые осуществляет Общество с ограниченной ответственностью «Северо-восточная горно-геологическая компания».</w:t>
      </w:r>
      <w:r>
        <w:rPr>
          <w:rFonts w:ascii="Times New Roman" w:hAnsi="Times New Roman" w:eastAsia="DejaVu Sans" w:cs="Times New Roman"/>
          <w:sz w:val="28"/>
          <w:szCs w:val="28"/>
          <w:highlight w:val="yellow"/>
          <w:lang w:eastAsia="ar-SA"/>
        </w:rPr>
      </w:r>
      <w:r>
        <w:rPr>
          <w:rFonts w:ascii="Times New Roman" w:hAnsi="Times New Roman" w:eastAsia="DejaVu Sans" w:cs="Times New Roman"/>
          <w:sz w:val="28"/>
          <w:szCs w:val="28"/>
          <w:highlight w:val="yellow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Демографическая ситуация в Чукотском автономном округе в 2025 году по сравнению с прошлым отчетным периодом характеризуется снижением численности населения: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2025 год – 47,8 тыс. человек, 2024 год – 48,0 тыс. человек.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DejaVu Sans" w:cs="Times New Roman"/>
          <w:sz w:val="28"/>
          <w:szCs w:val="28"/>
          <w:lang w:eastAsia="ar-SA"/>
        </w:rPr>
      </w:pP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На рынке труда по итогам отчетного года численность экономически активного населения составила 2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8,3 тыс. человек, в том числе 27,8 тыс. человек (98,3 %) были заняты в экономике и 0,5 тыс. человек (1,7 %) не имели работы, но активно искали. Уровень регистрируемой безработицы на 1 января 2026 года составил 0,6 %, что аналогично уровню прошлого периода.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DejaVu Sans" w:cs="Times New Roman"/>
          <w:sz w:val="28"/>
          <w:szCs w:val="28"/>
          <w:lang w:eastAsia="ar-SA"/>
        </w:rPr>
      </w:pP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Средний размер пенсии по состоянию на 1 января 2026 года составил 41 932 рубл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я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, увеличение по сравнению с 2024 годом (34 516 рублей) составило 21,5 %. Численность пенсионеров, состоящих на учете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Отделении Социального фонда России по Чукотскому автономному округу, в отчетном периоде снизилась 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на 178 человек по сравнению с аналогичным периодом прошлого года (14 819 человек)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14 641 человек.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DejaVu Sans" w:cs="Times New Roman"/>
          <w:sz w:val="28"/>
          <w:szCs w:val="28"/>
          <w:lang w:eastAsia="ar-SA"/>
        </w:rPr>
      </w:pP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Величина прожиточного минимума по Чукотскому автономному округу на душу населения установлена на 2025 год</w:t>
      </w:r>
      <w:r>
        <w:rPr>
          <w:rFonts w:ascii="Times New Roman" w:hAnsi="Times New Roman" w:eastAsia="DejaVu Sans" w:cs="Times New Roman"/>
          <w:sz w:val="28"/>
          <w:szCs w:val="28"/>
          <w:vertAlign w:val="superscript"/>
          <w:lang w:eastAsia="ar-SA"/>
        </w:rPr>
        <w:footnoteReference w:id="56"/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 в сумме 46 283 рубл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я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 (для трудоспособного населения – 50 448 рублей, пенсионеров – 39 803 рубля, детей – 44 895 рублей).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NewRomanPSMT" w:cs="Times New Roman"/>
          <w:sz w:val="28"/>
          <w:szCs w:val="28"/>
          <w:lang w:eastAsia="en-US"/>
        </w:rPr>
      </w:pP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Количество субъектов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малого и среднего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предпринимательства (далее – МСП)</w:t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, сведения о которых содержатся в Едином реестре субъектов малого</w:t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 и среднего предпринимательства</w:t>
      </w:r>
      <w:r>
        <w:rPr>
          <w:rFonts w:ascii="Times New Roman" w:hAnsi="Times New Roman" w:eastAsia="TimesNewRomanPS-ItalicMT" w:cs="Times New Roman"/>
          <w:iCs/>
          <w:sz w:val="28"/>
          <w:szCs w:val="28"/>
          <w:vertAlign w:val="superscript"/>
          <w:lang w:eastAsia="en-US"/>
        </w:rPr>
        <w:footnoteReference w:id="57"/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по состоянию на 10 января 2026 года составило 1 773 единицы, в том числе: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NewRomanPSMT" w:cs="Times New Roman"/>
          <w:sz w:val="28"/>
          <w:szCs w:val="28"/>
          <w:lang w:eastAsia="en-US"/>
        </w:rPr>
      </w:pP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юридические лица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– 453 единицы;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NewRomanPSMT" w:cs="Times New Roman"/>
          <w:sz w:val="28"/>
          <w:szCs w:val="28"/>
          <w:lang w:eastAsia="en-US"/>
        </w:rPr>
      </w:pP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индивидуальные предприниматели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– 1 302 единицы.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NewRomanPSMT" w:cs="Times New Roman"/>
          <w:sz w:val="28"/>
          <w:szCs w:val="28"/>
          <w:lang w:eastAsia="en-US"/>
        </w:rPr>
      </w:pP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По сравнению с аналогичным периодом 2025 года (1 661 единица) количество субъектов МСП увеличилось на 112 единиц или на 6,7 %.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NewRomanPSMT" w:cs="Times New Roman"/>
          <w:sz w:val="28"/>
          <w:szCs w:val="28"/>
          <w:lang w:eastAsia="en-US"/>
        </w:rPr>
      </w:pP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Среднесписочная численность работников на предприятиях МСП по сравнению с аналогичным периодом прошлого года незначительно снизилась (на 97 человек) и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по состоянию на 10 января 2026 года составила 3 664 человека, в том числе: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</w:p>
    <w:p>
      <w:pPr>
        <w:ind w:firstLine="709"/>
        <w:spacing w:before="0" w:beforeAutospacing="0" w:after="0" w:afterAutospacing="0" w:line="240" w:lineRule="auto"/>
        <w:rPr>
          <w:rFonts w:ascii="Times New Roman" w:hAnsi="Times New Roman" w:eastAsia="TimesNewRomanPSMT" w:cs="Times New Roman"/>
          <w:sz w:val="28"/>
          <w:szCs w:val="28"/>
          <w:lang w:eastAsia="en-US"/>
        </w:rPr>
      </w:pP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юридические лица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2 747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 человек;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</w:p>
    <w:p>
      <w:pPr>
        <w:ind w:firstLine="709"/>
        <w:spacing w:before="0" w:beforeAutospacing="0" w:after="0" w:afterAutospacing="0" w:line="240" w:lineRule="auto"/>
        <w:rPr>
          <w:rFonts w:ascii="Times New Roman" w:hAnsi="Times New Roman" w:eastAsia="TimesNewRomanPSMT" w:cs="Times New Roman"/>
          <w:sz w:val="28"/>
          <w:szCs w:val="28"/>
          <w:lang w:eastAsia="en-US"/>
        </w:rPr>
      </w:pP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индивидуальные предприниматели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– 917</w:t>
      </w:r>
      <w:r>
        <w:rPr>
          <w:rFonts w:ascii="Times New Roman" w:hAnsi="Times New Roman" w:eastAsia="TimesNewRomanPS-ItalicMT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человек.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NewRomanPSMT" w:cs="Times New Roman"/>
          <w:sz w:val="28"/>
          <w:szCs w:val="28"/>
          <w:lang w:eastAsia="en-US"/>
        </w:rPr>
      </w:pP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Численность самозанятых граждан, зафиксировавших свой статус</w:t>
      </w:r>
      <w:r>
        <w:rPr>
          <w:rFonts w:ascii="Times New Roman" w:hAnsi="Times New Roman" w:eastAsia="TimesNewRomanPS-ItalicMT" w:cs="Times New Roman"/>
          <w:iCs/>
          <w:sz w:val="28"/>
          <w:szCs w:val="28"/>
          <w:vertAlign w:val="superscript"/>
          <w:lang w:eastAsia="en-US"/>
        </w:rPr>
        <w:footnoteReference w:id="58"/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 и применяющих специальный налоговый режим «Налог на профессиональный доход»</w:t>
      </w:r>
      <w:r>
        <w:rPr>
          <w:rFonts w:ascii="Times New Roman" w:hAnsi="Times New Roman" w:eastAsia="TimesNewRomanPS-ItalicMT" w:cs="Times New Roman"/>
          <w:iCs/>
          <w:sz w:val="28"/>
          <w:szCs w:val="28"/>
          <w:vertAlign w:val="superscript"/>
          <w:lang w:eastAsia="en-US"/>
        </w:rPr>
        <w:footnoteReference w:id="59"/>
      </w:r>
      <w:r>
        <w:rPr>
          <w:rFonts w:ascii="Times New Roman" w:hAnsi="Times New Roman" w:eastAsia="TimesNewRomanPS-ItalicMT" w:cs="Times New Roman"/>
          <w:iCs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по состоянию на 31 декабря 2025 года составила 1 971 человек (1 881 </w:t>
      </w:r>
      <w:bookmarkStart w:id="0" w:name="undefined"/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человек – физические лица, 90 человек – индивидуальные предприниматели)</w:t>
      </w:r>
      <w:bookmarkEnd w:id="0"/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  <w:t xml:space="preserve">, по состоянию на 31 декабря 2024 года – 1 517 человек (1 443 человека – физические лица, 74 человека – индивидуальные предприниматели). За отчетный период численность самозанятых граждан увеличилась на 454 человека (26,4 %).</w:t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  <w:r>
        <w:rPr>
          <w:rFonts w:ascii="Times New Roman" w:hAnsi="Times New Roman" w:eastAsia="TimesNewRomanPSMT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DejaVu Sans" w:cs="Times New Roman"/>
          <w:sz w:val="28"/>
          <w:szCs w:val="28"/>
          <w:lang w:eastAsia="ar-SA"/>
        </w:rPr>
      </w:pP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В течение отчетного периода самый низкий уровень инфляции зафиксирован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октябре 2025 года – 2,88 %, с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амый высокий –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феврале 2025 года – 6,51 %. У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ровень инфляции в округе остается ниже показателей по Дальневосточному федеральному округу и по России в целом. На показатель инфляции влияют региональные меры по сдерживанию роста цен на социально значимые продукты.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2. Общая характеристика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исполнения окружного бюджета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об окружном бюджете в первоначальной редакции утверждены основные параметры окружного бюджета в объемах: доходы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876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589,0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рублей, расходы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954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113,3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фицит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524,3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Изменения основных параметров окружного бюджета в отчетном периоде представлены в таблице №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2.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1984"/>
        <w:gridCol w:w="1559"/>
        <w:gridCol w:w="1276"/>
        <w:gridCol w:w="992"/>
      </w:tblGrid>
      <w:tr>
        <w:tblPrEx/>
        <w:trPr>
          <w:jc w:val="center"/>
          <w:trHeight w:val="135"/>
          <w:tblHeader/>
        </w:trPr>
        <w:tc>
          <w:tcPr>
            <w:shd w:val="clear" w:color="ffffff" w:fill="ffffff"/>
            <w:tcW w:w="41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показателя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Закон об окружном бюджете 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Изменения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232"/>
          <w:tblHeader/>
        </w:trPr>
        <w:tc>
          <w:tcPr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от 04.12.2024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64-ОЗ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от 19.11.2025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86-ОЗ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процент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46"/>
          <w:tblHeader/>
        </w:trPr>
        <w:tc>
          <w:tcPr>
            <w:shd w:val="clear" w:color="ffffff" w:fill="ffffff"/>
            <w:tcW w:w="411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Доходы, в том числе: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60 876 589,0</w:t>
            </w:r>
            <w:bookmarkEnd w:id="0"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67 225 315,1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6 348 726,1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10,4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Налоговые доходы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28 964 172,8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35 028 717,9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6 064 545,1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Неналоговые доходы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3 370 652,0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3 514 095,6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143 443,6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Безвозмездные поступления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28 541 764,2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28 682 501,6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140 737,4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Расходы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60 954 113,3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69 453 286,1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8 499 172,8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13,9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Программные мероприятия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57 535 463,7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65 675 427,4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8 139 963,7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14,1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3 418 649,6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3 777 858,7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359 209,1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Дефицит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-77 524,3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-2 227 971,0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-2 150 446,7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,8 раза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Верхний предел государственного внутреннего долга на 01.01.2026 г., в т.ч.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7 205 472,8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8 012 262,5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806 789,7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11,2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по государственным гарантиям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227 880,0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227 880,0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объем заимствований 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6 977 592,8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</w:p>
        </w:tc>
        <w:tc>
          <w:tcPr>
            <w:shd w:val="clear" w:color="ffffff" w:fill="ffffff"/>
            <w:tcW w:w="1559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 xml:space="preserve">7 784 382,5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806 789,7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Изменения в Закон об окружном бюджете вносились четыре раза, в результате доходы увеличены на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6 348 726,1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10,4 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%), расходы – на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8 499 172,8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13,9 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%).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Причинами внесения изменений являются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уточнение прогнозного показателя объема доходов бюджета 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изменение отдельных позиций по налоговым и неналоговым доходам, безвозмездным поступлениям 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уточнение доходов за счет увеличения возврата остатков целевых средств,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вследствие этого, изменение объема расходов, уточнение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перераспределение отдельных расходов государственных программ Чукотского автономного округа и непрограммных расходов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об окружном бюджете (в редакции от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ноября 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86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-ОЗ) доходы окружного бюджета утверждены в объеме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67 225 315,1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расходы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69 453 286,1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об окружном бюджете первоначально утвержден дефицит в размере 77 524,3 тыс. рублей, в результате внесенных изменений исполнение окружного бюджета предусмотрено с дефицитом в размере 2 227 971,0 тыс. рублей.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pacing w:val="-4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Изменения источников финансирования дефицита окружного бюджета представлены в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таблице №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65"/>
        <w:gridCol w:w="1701"/>
        <w:gridCol w:w="1559"/>
        <w:gridCol w:w="1701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показателя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Закон об окружном бюджете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на 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Изменения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8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5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от 0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.12.202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 г. №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 64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-ОЗ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от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19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.11.202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 г. №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 86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-ОЗ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5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Источники внутреннего финансирования дефицита бюджета, в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том числе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77 524,3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2 227 971,0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2 150 446,7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Государственные ценные бумаги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140 000,0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140 000,0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Бюджетные кредиты (полученные)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-773 825,7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-113 645,9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660 179,8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Бюджетные кредиты (предоставленные)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651 350,0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1 279 100,7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627 750,7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2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Изменение остатков средств на счетах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по учету средств бюджета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200 000,0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922 516,2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722 516,2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pacing w:val="-4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Структура источников финансирования дефицита окружного бюджета соответствует статье 95 Бюджетного кодекса.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исполнения окружного бюджета по расходам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источникам финансирования дефицита бюджета осуществляется на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основании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сводной бюджетной росписи окружного бюджета</w:t>
      </w:r>
      <w:r>
        <w:rPr>
          <w:rFonts w:ascii="Times New Roman" w:hAnsi="Times New Roman" w:eastAsia="Calibri" w:cs="Times New Roman"/>
          <w:sz w:val="28"/>
          <w:szCs w:val="28"/>
          <w:vertAlign w:val="superscript"/>
        </w:rPr>
        <w:footnoteReference w:id="60"/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bCs/>
          <w:sz w:val="28"/>
          <w:szCs w:val="28"/>
        </w:rPr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расходов, утвержденный сводной бюджетной росписью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состоянию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30 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составил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382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771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,1 тыс.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рублей, 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меньше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законодательно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объем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70 515,0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0,1 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%)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Расхожд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ение плановых назначений связано с распределением зарезервированных Законом об окружном бюджете бюджетных ассигнований (статья 12), межбюджетных трансфертов из федерального бюджета и средств резервного фонда Правительства Чукотского автономного округа, 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 противоречит бюджетному законодательству.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об изменениях, внесенных в сводную бюджетную роспись и не учтенных в Законе об окружном бюджете, представлена в разрезе главных распорядителей бюджетных средств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в таблице №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4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4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815"/>
        <w:gridCol w:w="1559"/>
        <w:gridCol w:w="1559"/>
        <w:gridCol w:w="1411"/>
      </w:tblGrid>
      <w:tr>
        <w:tblPrEx/>
        <w:trPr>
          <w:trHeight w:val="20"/>
          <w:tblHeader/>
        </w:trPr>
        <w:tc>
          <w:tcPr>
            <w:shd w:val="clear" w:color="ffffff" w:fill="ffffff"/>
            <w:tcW w:w="257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главного распорядителя средств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окружного бюджета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W w:w="166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Утверждено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Отклонение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(гр.3-гр.2)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  <w:tblHeader/>
        </w:trPr>
        <w:tc>
          <w:tcPr>
            <w:tcW w:w="2577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Законом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  <w:t xml:space="preserve">об окружном бюджете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perscript"/>
              </w:rPr>
              <w:footnoteReference w:id="61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Сводной бюджетной росписью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755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Расходы бюджета - всего</w:t>
            </w:r>
            <w:bookmarkEnd w:id="0"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69 453 286,1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69 382 771,1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-70 515,0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строительства и жилищно-коммунального хозяйства (901)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24 610 961,4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24 019 204,3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-591 757,1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промышленной политики (902)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6 983 782,9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7 286 560,7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302 777,8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социальной политики (903)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5 135 372,5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5 301 491,5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166 119,0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экономики и инвестиций (904)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508 810,8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508 810,8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финансов 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имущественных отношений (905)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6 340 348,5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6 332 592,8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-7 755,7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сельского хозяйства 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продовольствия (906)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3 997 750,4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4 029 010,3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31 259,9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цифрового развития (907)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534 080,5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563 594,1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29 513,6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здравоохранения (909)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4 503 834,3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4 487 561,1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-16 273,2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Аппарат Губернатора и Правительства (910)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2 129 178,9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2 129 288,4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109,5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Счетная палата (911)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147 198,4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147 403,9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205,5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Комитет государственного регулирования цен и тарифов (912)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67 661,2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67 661,2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Избирательная комиссия (913)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163 074,8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163 074,8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физической культуры 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спорта (914)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738 026,5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763 274,5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25 248,0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Дума (915)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303 683,3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303 683,3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природных ресурсов 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экологии (916)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1 149 906,8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1 139 100,1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-10 806,7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культуры и туризма (917)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1 179 029,9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1 137 968,9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-41 061,0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Департамент образования и науки (918)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9 571 005,3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9 562 288,9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-8 716,4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Управлени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по обеспечению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деятельности мировых судей и юридических консультаций,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организации деятельности ЗАГС и архивов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(919)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206 968,6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206 968,6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Комитет по охране объектов культурного наследия (920)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46 538,6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43 741,5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-2 797,1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Управление молодежной политики (921)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114 899,8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114 899,8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577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Департамент гражданской защиты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противопожарной службы (922)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1 021 172,7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8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1 074 591,6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75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53 418,9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Плановый объем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финансирования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увеличен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восьми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главным распорядителям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бюджетных средств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общей сумме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608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652,2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семи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главным распорядителям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уменьшен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679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167,2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Наибольшее изменение плановых назначений отмечается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следующим главным администраторам бюджетных средств: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строительства и жилищно-коммунального хозяйства Чукотского автономного округа (901)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снижение на 591 757,1 тыс. рублей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243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001,8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субсидия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создание новых мест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общеобразовательных организациях в связи с ростом числа обучающихся, вызванным демографическим фактором (строительство объекта «Школа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Анадырь»)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630,8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субсидия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развитие жилищного строительства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Департамент промышленной политики Чукотского автономного округа (902) – увеличение на 302 777,8 тыс. рублей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000,0 тыс. рублей – субсидия на финансовое обеспечение затрат, связанных с осуществлением уставной деятельности в сфере оптовой и (или) розничной торговли продовольственными товарами в виде вклада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имуществ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социальной политики Чукотского автономного округа (903)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увеличение на 166 119,0 тыс. рублей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154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957,5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дополнительная мера социальной поддержки граждан, пребывающих в запасе, поступивших на военную службу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контракту в соединения и воинские части Вооруженных сил Российской Федерации, лиц, принимающих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добровольной основе участие в боевых действиях, с территории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Характеристика исполнения окружного бюджета по итогам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представлена в таблице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3"/>
        <w:gridCol w:w="1613"/>
        <w:gridCol w:w="1460"/>
        <w:gridCol w:w="1598"/>
      </w:tblGrid>
      <w:tr>
        <w:tblPrEx/>
        <w:trPr>
          <w:trHeight w:val="121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основных показателей бюджета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76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vAlign w:val="center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Доходы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67 225 315,1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68 312 731,1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101,6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vAlign w:val="center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Расходы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vertAlign w:val="superscript"/>
              </w:rPr>
              <w:footnoteReference w:id="62"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69 382 771,1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68 482 811,4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pct"/>
            <w:vAlign w:val="center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Дефицит (-), профицит (+)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vertAlign w:val="superscript"/>
              </w:rPr>
              <w:footnoteReference w:id="63"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" w:type="pct"/>
            <w:vAlign w:val="bottom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-2 227 971,0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1" w:type="pct"/>
            <w:vAlign w:val="bottom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-170 080,3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5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Согласно данным отчета об исполнении окружного бюджета, доходы составили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68 312 731,1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что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1 087 416,0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1,6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 больше прогнозируемого показателя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67 225 315,1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рублей), установленного Законом об окружном бюджете, расходы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68 482 811,4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что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899 959,7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 меньше показателя сводной бюджетной росписи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69 382 771,1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 результатам финансового года окружной бюджет исполнен с дефицитом в размере 170 080,3 </w:t>
      </w:r>
      <w:r>
        <w:rPr>
          <w:rFonts w:ascii="Times New Roman" w:hAnsi="Times New Roman" w:cs="Times New Roman"/>
          <w:bCs/>
          <w:sz w:val="28"/>
          <w:szCs w:val="28"/>
        </w:rPr>
        <w:t xml:space="preserve">тыс. рублей.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Остатки средств на счетах окружного бюджета на 1 января 202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года составили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1 025 140,1 тыс. рублей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из них целевые средства, полученные из федерального бюджета 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53,5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тыс. рублей.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об остатках средств на счетах окружного бюджета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отчетном периоде приведена в таблице 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6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18"/>
        <w:gridCol w:w="2295"/>
        <w:gridCol w:w="2431"/>
      </w:tblGrid>
      <w:tr>
        <w:tblPrEx/>
        <w:trPr>
          <w:cantSplit/>
          <w:trHeight w:val="79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показателя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2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Остаток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23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2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 1 января 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 1 января 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66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28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1" w:type="pct"/>
            <w:vAlign w:val="bottom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6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Всего, в том числе: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28" w:type="pct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951 453,1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025 140,1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11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Средства окружного бюджета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28" w:type="pct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951 352,8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1 025 086,6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5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Средства федерального бюджета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28" w:type="pct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100,3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53,5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январе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неиспользованные остатки межбюджетных трансфертов возвращены в доход федерального бюджета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сумме 53,5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межбюджетны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трансферт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обеспечение выплат ежемесячного денежного вознаграждения советникам директоров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воспитанию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Сириус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муниципальных общеобразовательных организаций и профессиональных образовательных организаций из бюджетов субъектов Российской Федерации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(Департамент образования и науки Чукотского автономного округа).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</w:r>
    </w:p>
    <w:p>
      <w:pPr>
        <w:ind w:firstLine="709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14:ligatures w14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3. Исполнение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br/>
        <w:t xml:space="preserve">окружного бюджета по доходам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целях реализации положений статьи 160.1 Бюджетного кодекса утвержден порядок осуществления органами государств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енной власти (государственными органами) Чукотского автономного округа бюджетных полномочий главных администраторов доходов бюджето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vertAlign w:val="superscript"/>
        </w:rPr>
        <w:footnoteReference w:id="64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перечень главных администраторов доходов окружного бюджета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vertAlign w:val="superscript"/>
        </w:rPr>
        <w:footnoteReference w:id="65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Исполнение доходов окружного бюджета в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году обеспечивали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главных администратора доходов (из них 5 – территориальные органы (подразделения) федеральных органов государственной власти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соответствии с законодательством Российской Федерации), включенные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en-US"/>
        </w:rPr>
        <w:t xml:space="preserve">еречень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главных администраторов доходов окружного бюджета.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Исполнение показателей доходов окружного бюджета за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 отражено в таблице 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851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tbl>
      <w:tblPr>
        <w:tblW w:w="9694" w:type="dxa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417"/>
        <w:gridCol w:w="1417"/>
        <w:gridCol w:w="1276"/>
        <w:gridCol w:w="1306"/>
        <w:gridCol w:w="1787"/>
      </w:tblGrid>
      <w:tr>
        <w:tblPrEx/>
        <w:trPr>
          <w:jc w:val="center"/>
          <w:trHeight w:val="34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br/>
              <w:t xml:space="preserve">показателя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Утверждено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Отклонение (гр.3-гр.2)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Структура, %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12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5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Доходы бюджета - всего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67 225 315,1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68 312 731,1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1 087 416,0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101,6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3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1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  <w:t xml:space="preserve">Налоговые доходы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35 028 717,9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38 688 712,0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3 659 994,1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в 1,1 раза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56,6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16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1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  <w:t xml:space="preserve">Неналоговые доходы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3 514 095,6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1 153 574,3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-2 360 521,3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323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1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  <w:t xml:space="preserve">Безвозмездные поступления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28 682 501,6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28 470 444,8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-212 056,8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8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41,7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году объем доходов окружного бюджета составил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68 312 731,1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рублей или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101,6 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 прогнозируемого объема доходов, утвержденного Законом об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окружном бюджете (в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году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523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142,1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тыс. рублей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структуре доходов окружного бюджета, полученных в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году, наибольший удельный вес составляют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налоговые доходы – 56,6 % и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безвозмездные поступления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41,7 %.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Неналоговые доходы составили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1,7 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Исполнение окружного бюджета по видам доходов за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 отражено в Приложении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к настоящему Заключению.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3.1. Налоговые доходы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Поступления налоговых доходов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окружного бюджета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году составил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688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712,0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рублей или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10,4 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 прогнозных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показателей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028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717,9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рублей).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отчетном периоде налоговые доходы сформированы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 счет налога 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прибыль организаций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37,2 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налога на добычу полезных ископаемых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31,4 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налога на доходы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физических лиц – 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3,5 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налога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 имущество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4,6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Наибольшее отклонение от прогнозных поступлений сложилось по следующим видам налоговых доходов: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</w:rPr>
        <w:t xml:space="preserve">- за счет превышения плановых показателей: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алог на добычу прочих полезных ископаемых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(за исключением полезных ископаемых, в отношении которых при налогообложении установлен рентный коэффициент, отличный от 1, полезных ископаемых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виде природных алмазов, угля, в том числе коксующегося, железных руд, многокомпонентной комплексной руды, в отношении которой при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налогообложении установлен коэффициент, характеризующий стоимость ценных компонентов в руде)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на 2 042 855,2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алог на прибыль организаций,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основании лицензии на осуществление исключительного права 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экспорт газа (за исключением налога, уплаченного налогоплательщиками, которые 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января 2023 года являлись участниками консолидированной группы налогоплательщиков), зачисляемый в бюджеты субъектов Российской Федерации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на 1 438 659,1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налог на прибыль организаций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 и местными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бюджетами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на 246 428,9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налог на доходы физических лиц с доходов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источником которых является налоговый агент, за исключением доходов, в отношении которых исчисление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уплата налога осуществляются в соответствии со статьями 227, 227.1 и 228 Налогового кодекса Российской Федерации, а также доходов от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долевого участия в организации, полученных физическим лицом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налоговым резидентом Российской Федерации в виде дивидендов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на 209 780,7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налог на добычу общераспространенных полезных ископаемых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36 698,6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алог на доходы физических лиц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части суммы налога, превышающей 702 тысячи рублей, относящейся к части налоговой базы, превышающей 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миллионов рублей и составляющей не более 20 миллионов рублей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на 23 014,6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</w:rPr>
        <w:t xml:space="preserve">- за счет недопоступления:</w:t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i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налог на доходы физических лиц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части суммы налога, превышающей 650 тысяч рублей, относящейся к налоговой базе, указанной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пункте 6.2 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татьи 210 Налогового кодекса Российской Федерации, превышающей 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миллионов рублей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на 107 324,9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доходы от налога на прибыль организаций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бюджеты субъектов Российской Федер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на 68 613,4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налог на доходы физических лиц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части суммы налога, относящейся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налоговой базе, указанной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пункте 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статьи 210 Налогового кодекса Российской Федерации, не превышающей 5 миллионов рублей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на 52 745,1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налог на доходы физических лиц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части суммы налога, превышающей 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402 тысячи рублей, относящейся к части налоговой базы, превышающей 50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миллионов рублей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на 49 619,3 тыс. рублей;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налог на доходы физических лиц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отношении доходов от долевого участия в организации, полученных физическим лицом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налоговым резидентом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Российской Федерации в виде дивидендов (в части суммы налога, превышающей 650 000 рублей)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на 39 676,3 тыс. рублей.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Федеральным законодательс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твом определены территории Чукотского автономного округа, на которых закреплены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меры государственной поддержки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предпринимательской деятельности: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 территория опережающего развития «Чукотка»</w:t>
      </w:r>
      <w:r>
        <w:rPr>
          <w:rFonts w:ascii="Times New Roman" w:hAnsi="Times New Roman" w:eastAsia="Calibri" w:cs="Times New Roman"/>
          <w:sz w:val="28"/>
          <w:szCs w:val="28"/>
          <w:vertAlign w:val="superscript"/>
        </w:rPr>
        <w:footnoteReference w:id="66"/>
      </w:r>
      <w:r>
        <w:rPr>
          <w:rFonts w:ascii="Times New Roman" w:hAnsi="Times New Roman" w:eastAsia="Calibri" w:cs="Times New Roman"/>
          <w:sz w:val="28"/>
          <w:szCs w:val="28"/>
        </w:rPr>
        <w:t xml:space="preserve">(далее – ТОР «Чукотка») – городской округ Анадырь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Анадырский муниципальный район с 2015 года,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Билибинский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муниципальный район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2019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года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муниципальный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округ Певек с 2025 года</w:t>
      </w:r>
      <w:r>
        <w:rPr>
          <w:rFonts w:ascii="Times New Roman" w:hAnsi="Times New Roman" w:eastAsia="Calibri" w:cs="Times New Roman"/>
          <w:sz w:val="28"/>
          <w:szCs w:val="28"/>
          <w:vertAlign w:val="superscript"/>
        </w:rPr>
        <w:footnoteReference w:id="67"/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 особый режим таможенного налогового и административного регулирования «Свободный порт Владивосток» (далее – СПВ)</w:t>
      </w:r>
      <w:r>
        <w:rPr>
          <w:rFonts w:ascii="Times New Roman" w:hAnsi="Times New Roman" w:eastAsia="Calibri" w:cs="Times New Roman"/>
          <w:sz w:val="28"/>
          <w:szCs w:val="28"/>
          <w:vertAlign w:val="superscript"/>
        </w:rPr>
        <w:footnoteReference w:id="68"/>
      </w:r>
      <w:r>
        <w:rPr>
          <w:rFonts w:ascii="Times New Roman" w:hAnsi="Times New Roman" w:eastAsia="Calibri" w:cs="Times New Roman"/>
          <w:sz w:val="28"/>
          <w:szCs w:val="28"/>
        </w:rPr>
        <w:t xml:space="preserve"> – муниципальное образование городской округ Певек с 2016 года.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Также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территория Чукотского автономного округа отнесена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сухопутной территории Арктической зоны Российской Федерации (далее – АЗРФ), резиденты которой имеют регистрацию на территории АЗРФ, заключили соглашение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 осуществлении инвестиционной деятельности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включены в реестр резидентов Арктической зоны Российской Федерации</w:t>
      </w:r>
      <w:r>
        <w:rPr>
          <w:rFonts w:ascii="Times New Roman" w:hAnsi="Times New Roman" w:eastAsia="Calibri" w:cs="Times New Roman"/>
          <w:sz w:val="28"/>
          <w:szCs w:val="28"/>
          <w:vertAlign w:val="superscript"/>
        </w:rPr>
        <w:footnoteReference w:id="69"/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Функции управляющей компании для режимов ТОР «Чукотка», СПВ и АЗРФ выполняет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Акционерное общество «Корпорация развития Дальнего Востока и Арктики»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vertAlign w:val="superscript"/>
        </w:rPr>
        <w:footnoteReference w:id="70"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также 10 дочерних организаций в форме обществ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ограниченной ответственностью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одна организация в форме акционерного общества.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 законодательством, а также Законом Чукотского автономного округа от 18 мая 2015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47-ОЗ «О некоторых вопросах налогового регулирования в Чукотском автономном округе» для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организаций, получивших статус резидентов ТОР «Чукотка», СПВ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АЗРФ установлены меры государственной поддержки, в том числе преференции.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3.2. Неналоговые доходы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Неналоговые доходы поступили в сумме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153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574,3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рублей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на 2 360 521,3 тыс. рублей меньше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прогнозных показателей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514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095,6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рублей).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Руководствуясь статьей 38.1 Бюджетного кодекса, утверждены перечни подведомственности получателей бюджетных средств главному распорядителю (распорядителю) бюджетных средств и государственных учреждений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государственных предприятий округа, находящихся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ведомственном подчинении исполнительных органов государственной власти Чукотского автономного округа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vertAlign w:val="superscript"/>
        </w:rPr>
        <w:footnoteReference w:id="72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 в которых в 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году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отражено 41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учреждени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(18 казенных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восемь бюджетных и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автономных) и одно государственное предприятие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vertAlign w:val="superscript"/>
        </w:rPr>
        <w:footnoteReference w:id="73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состоянию на 1 января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года в окружной собственности находились акции восьми акционерных обществ, также округ являлся участником восьми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обществ с ограниченной ответственностью.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году в окружной бюджет поступила часть прибыли иных организаций с государственным участием в капитале в сумме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621 000,0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рублей (Акционерное общество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Дальэнергомост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или 21,5 % прогнозных назначений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885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180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,5 тыс. рублей).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Доходы от операций по управлению остатками средств на едином казначейском счете составили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275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50,0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рублей при прогнозном показателе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400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000,0 тыс. рублей.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Объем поступлений в окружной бюджет от сдачи в аренду земли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имущества составил в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году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13 890,9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рублей или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1,2 раза больше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плановых значений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11 322,6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тыс. рублей).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Доходы в виде процентов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 пользование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бюджетны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кредит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поступили в сумме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36 255,1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рублей или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100,2 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 плановых значений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36 172,5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рублей).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Доходы от оказания платных услуг и компенсаций затрат государства составили 46 955,9 тыс. рублей при прогнозном плановом показателе 44 344,8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рублей, из них: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возврат аванса в сумме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30 944,3 тыс. рублей, в том числе: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18 833,9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контракт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13 ноября 2024 года № 16/ЦКД-24 «Приобретение и установка модульных центров культуры и досуга в селе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Энмелен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селе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Сиреники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р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ешение 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расторжении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государственного контракта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в одностороннем порядке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от 19 августа 2025 года,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плательщик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ООО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«ТЕПЛО ДОМ УРАЛ»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7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11 362,0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 контракт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10 июня 2024 года № 9/ФАП-24 «Приобретение и установка модульного фельдшерско-акушерского пункта в селе Ламутское», р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ешени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о расторжении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государственного контракта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в одностороннем порядке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от 19 августа 2025 года,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плательщик – ООО «ТЕПЛО ДОМ УРАЛ»;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748,4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контракт от 7 сентября 2022 года № 13/ФАП-22 «Приобретение и установка модульного фельдшерско-акушерского пункта в селе Ламутское», соглашение о расторжении государственного контракта от 14 декабря 2022 года, исполнительный лист 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29 июля 2024 года № А80-590/2023, плательщик – Индивидуальный предприниматель Крючков Е.К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доходы от платных услуг, оказанных в отчетном периоде лабораторией экологического контроля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анализа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Государственное казенное учреждение Чукотского автономного округа «Служба охраны животного мира, природопользования и экологического мониторинга»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сумме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4 153,0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возврат дебиторской задолженности прошлых 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единовременн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ые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компенсационн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ые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выплат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ы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 рамках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программ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ы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«Земский доктор»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 сумме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2 540,6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возврат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дебиторской задолженности прошлых лет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излишне выплаченн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заработн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прошлых лет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сумме 2 000,0 тыс. рублей;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возврат дебиторской задолженности прошлых лет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излишне уплаченны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налог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и страховы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взнос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в прошлые периоды</w:t>
      </w:r>
      <w:r>
        <w:rPr>
          <w:rFonts w:ascii="Times New Roman" w:hAnsi="Times New Roman" w:cs="Times New Roman"/>
          <w:sz w:val="28"/>
          <w:szCs w:val="28"/>
        </w:rPr>
        <w:t xml:space="preserve"> в сумме 1 252,8 тыс. рублей;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возврат дебиторской задолженности прошлых 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материальный ущерб, причиненный в результате виновных действий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медицинск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а, в сумме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901,3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возврат дебиторской задолженности прошлых лет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зыскание денежных средств, полученных в виде субсидии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возмещение части затрат, связанных с приобретением оборудования в целях создания и (или) развития, и (или) модернизации производства товаров (работ, услуг)</w:t>
      </w:r>
      <w:r>
        <w:rPr>
          <w:rFonts w:ascii="Times New Roman" w:hAnsi="Times New Roman" w:cs="Times New Roman"/>
          <w:sz w:val="28"/>
          <w:szCs w:val="28"/>
        </w:rPr>
        <w:t xml:space="preserve">, в сумме </w:t>
      </w:r>
      <w:r>
        <w:rPr>
          <w:rFonts w:ascii="Times New Roman" w:hAnsi="Times New Roman" w:cs="Times New Roman"/>
          <w:sz w:val="28"/>
          <w:szCs w:val="28"/>
        </w:rPr>
        <w:br/>
        <w:t xml:space="preserve">533,0 тыс. рублей;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возмещение платы за коммунальные услуги по договорам социального найма жилья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сумме 4</w:t>
      </w:r>
      <w:r>
        <w:rPr>
          <w:rFonts w:ascii="Times New Roman" w:hAnsi="Times New Roman" w:eastAsia="Calibri" w:cs="Times New Roman"/>
          <w:sz w:val="28"/>
          <w:szCs w:val="28"/>
        </w:rPr>
        <w:t xml:space="preserve">55,6 тыс. рублей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Доходы от продажи материальных и нематериальных активов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– вне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утвержденных доходов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поступило 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(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возмещение средств за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вторичное сырье, не содержащ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ее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драгоценные металлы, при утилизации списанных основных средств (контракт от 7 июля 2025 года №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25).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3.3. Безвозмездные поступления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году безвозмездные поступления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составили </w:t>
      </w:r>
      <w:r>
        <w:rPr>
          <w:rFonts w:ascii="Times New Roman" w:hAnsi="Times New Roman" w:cs="Times New Roman"/>
          <w:sz w:val="28"/>
          <w:szCs w:val="28"/>
        </w:rPr>
        <w:t xml:space="preserve">28 470 </w:t>
      </w:r>
      <w:r>
        <w:rPr>
          <w:rFonts w:ascii="Times New Roman" w:hAnsi="Times New Roman" w:cs="Times New Roman"/>
          <w:sz w:val="28"/>
          <w:szCs w:val="28"/>
        </w:rPr>
        <w:t xml:space="preserve">444,8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рублей, что меньше прогнозных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назначений на 212 056,8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рублей (план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28 682 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501,6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рублей).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Из федерального бюджета в окружн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ой бюджет поступило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23 547 383,5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рублей, что меньше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плановых назначений на 112 199,6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й или на 0,5 % (план 23 659 583,1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рублей).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:lang w:eastAsia="en-US"/>
        </w:rPr>
        <w:t xml:space="preserve">Дотации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поступили в объеме 17 150 033,1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тыс. рублей, в том числе: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16 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793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419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,9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тыс. рублей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–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выравнивание бюджетн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ой обеспеченности;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223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531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,0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тыс. рублей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–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частичн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ая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компенсаци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я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дополнительных расходов на повышение оплаты труда работников бюджетной сферы и иные цели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133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082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,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2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тыс. рублей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достижение показателей деятельности органов исполнительной власти субъектов Российской Фе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дерации.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:lang w:eastAsia="en-US"/>
        </w:rPr>
        <w:t xml:space="preserve">Субсидии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поступили в объеме 5 711 858,2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тыс. рублей, из них не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в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полном объеме: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реализаци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я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региональных проектов модернизации первичного звена здравоохранения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(на 36 780,8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тыс. рублей ниже плановых назначений);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(на 17 288,3 тыс. рублей</w:t>
      </w:r>
      <w: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ниже плановых назначений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выплат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региональных социальных доплат к пенсии (на 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608,6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рублей ниже плановых назначений);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беспечение отдыха и оз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доровление детей, проживающих в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Арктической зоне Российской Федерации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(на 4 638,7 тыс. рублей</w:t>
      </w:r>
      <w: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ниже плановых назначений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реализаци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мероприятий по обеспечению жильем молодых семей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(на 2 918,4 тыс. рублей</w:t>
      </w:r>
      <w: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ниже плановых назначений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расх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одны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обязательств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связанны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увеличением размера государственной поддержки семьям, имеющим детей, проживающим на территориях указанных су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бъектов Российской Федерации, в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части погашения обязательств по ипотечным жилищным кредитам (займам)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(на 2 135,7 тыс. рублей</w:t>
      </w:r>
      <w: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ниже плановых назначений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обеспечение комплексного развития сельских территорий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(на 1 935,2 тыс. рублей</w:t>
      </w:r>
      <w: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ниже плановых назначений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обеспечение отдельных категорий граждан жильем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(на 1 163,4 тыс. рублей</w:t>
      </w:r>
      <w: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ниже плановых назначений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обеспечени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деятельности советников директора по воспитанию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взаимодействию с детскими общественными объединениями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общеобразовательных организациях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(на 967,1 тыс. рублей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ниже плановых назначений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В отчетном периоде 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з федерального бюджета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не поступила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субсиди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 в сумме 66,5 тыс. рублей.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:lang w:eastAsia="en-US"/>
        </w:rPr>
        <w:t xml:space="preserve">Субвенции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поступили в объеме 412 060,6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тыс. рублей,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из них основной объем (47,7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%) составила субвенция на осуществление мер пожарной безопасности и ту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шение лесных пожаров – 196 566,7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тыс. рублей.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:lang w:eastAsia="en-US"/>
        </w:rPr>
        <w:t xml:space="preserve">Иные межбюджетные трансферты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составили 273 431,6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тыс. рублей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br/>
        <w:t xml:space="preserve">по семи видам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,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из них основной объем (более 90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%) по следующим направлениям: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-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реализующих образовательные программы начального общего образования, основного общего образования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среднего общего образования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–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219 848,2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тыс. рублей;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ежемесячное денежное вознаграждение за классное руководство (кураторство) педагогическим работникам государственных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и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–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20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929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,9 тыс. рублей;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ежемесячн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ое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денежно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вознаграждени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советникам директоров по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воспитанию и взаимодействию с детскими общественными объединениями государственных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муниципальных общеобразовательных организаций 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профессиональных образовательных организаций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–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3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016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,6 тыс. рублей.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Сверх плановых назначений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сумме 783,5 тыс. рублей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поступил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м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ежбюджетные трансферты, передаваемые бюджетам субъектов Российской Федерации на обеспечение деятельности депутатов Государственной Думы 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их помощников в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избирательных округах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eastAsia="DejaVu Sans" w:cs="Times New Roman"/>
          <w:b/>
          <w:color w:val="000000" w:themeColor="text1"/>
          <w:sz w:val="28"/>
          <w:szCs w:val="28"/>
          <w:lang w:eastAsia="ar-SA"/>
        </w:rPr>
        <w:t xml:space="preserve">Безвозмездные поступления </w:t>
      </w:r>
      <w:r>
        <w:rPr>
          <w:rFonts w:ascii="Times New Roman" w:hAnsi="Times New Roman" w:eastAsia="DejaVu Sans" w:cs="Times New Roman"/>
          <w:b/>
          <w:color w:val="000000" w:themeColor="text1"/>
          <w:sz w:val="28"/>
          <w:szCs w:val="28"/>
          <w:lang w:eastAsia="ar-SA"/>
        </w:rPr>
        <w:t xml:space="preserve">от государственных организаций 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в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 общей сумме составили 6 742,3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 тыс. рублей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: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- 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П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ублично-правовая компания «Фонд развития территорий»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 –</w:t>
      </w:r>
      <w:r>
        <w:rPr>
          <w:rFonts w:ascii="Calibri" w:hAnsi="Calibri" w:eastAsia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на обеспечение мероприятий по переселению граждан из аварийного жилищного фонда, в том числе с учетом необходимости развития малоэтажного жилищно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го строительства в сумме 6 574,9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 тыс. рублей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;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DejaVu Sans" w:cs="Times New Roman"/>
          <w:sz w:val="28"/>
          <w:szCs w:val="28"/>
          <w:lang w:eastAsia="ar-SA"/>
        </w:rPr>
      </w:pP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- Автономное учреждение Чукотского автономного округа «Управление технического обеспечения и эксплуатации имущества Чукотского автономного округа» – по результатам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5"/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осуществлен возврат субсидии на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 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финансовое обеспечение выполнения государственного задания за 2024 год в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 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сумме 167,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4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 тыс. рублей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DejaVu Sans" w:cs="font184"/>
          <w:sz w:val="28"/>
          <w:szCs w:val="28"/>
          <w:lang w:eastAsia="ar-SA"/>
        </w:rPr>
      </w:pPr>
      <w:r>
        <w:rPr>
          <w:rFonts w:ascii="Times New Roman" w:hAnsi="Times New Roman" w:eastAsia="DejaVu Sans" w:cs="Times New Roman"/>
          <w:b/>
          <w:color w:val="000000" w:themeColor="text1"/>
          <w:sz w:val="28"/>
          <w:szCs w:val="28"/>
          <w:lang w:eastAsia="ar-SA"/>
        </w:rPr>
        <w:t xml:space="preserve">Безвозмездные поступления</w:t>
      </w:r>
      <w:r>
        <w:rPr>
          <w:rFonts w:ascii="Times New Roman" w:hAnsi="Times New Roman" w:eastAsia="DejaVu Sans" w:cs="Times New Roman"/>
          <w:b/>
          <w:color w:val="000000" w:themeColor="text1"/>
          <w:sz w:val="28"/>
          <w:szCs w:val="28"/>
          <w:lang w:eastAsia="ar-SA"/>
        </w:rPr>
        <w:t xml:space="preserve"> от негосударственных организаций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 составили 4 980,6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 тыс. рублей 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и предусмотрены 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на реализацию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комплекса мер, направленных на создание семейных многофункциональных центров в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 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Чукотском автономном округе (новые специализированные социальные сервисы для семей с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 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детьми) 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(Н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егосударственн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ая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 организаци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я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 «Фонд поддержки детей, находящихся в трудной жизненной ситуации»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)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  <w:t xml:space="preserve">.</w:t>
      </w:r>
      <w:r>
        <w:rPr>
          <w:rFonts w:ascii="Times New Roman" w:hAnsi="Times New Roman" w:eastAsia="DejaVu Sans" w:cs="font184"/>
          <w:sz w:val="28"/>
          <w:szCs w:val="28"/>
          <w:lang w:eastAsia="ar-SA"/>
        </w:rPr>
      </w:r>
      <w:r>
        <w:rPr>
          <w:rFonts w:ascii="Times New Roman" w:hAnsi="Times New Roman"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eastAsia="DejaVu Sans" w:cs="Times New Roman"/>
          <w:b/>
          <w:color w:val="000000" w:themeColor="text1"/>
          <w:sz w:val="28"/>
          <w:szCs w:val="28"/>
          <w:lang w:eastAsia="ar-SA"/>
        </w:rPr>
        <w:t xml:space="preserve">Прочие безвозмездные поступления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составили 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br/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4 326 </w:t>
      </w:r>
      <w:r>
        <w:rPr>
          <w:rFonts w:ascii="Times New Roman" w:hAnsi="Times New Roman" w:cs="Times New Roman"/>
          <w:sz w:val="28"/>
          <w:szCs w:val="28"/>
        </w:rPr>
        <w:t xml:space="preserve">890,8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 тыс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. рублей –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целевые взносы Публичного акционерного общества «Федеральная гидрогенерирующая компания – РусГидро», в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соответствии с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 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Распоряжением Правительства 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Российской Федерации 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br/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от 7 декабря 2024 года № 3608-р «О тарифах на электрическую энергию (мощность) для субъектов Российской Федерации, входящих в состав Дальневосточного федерального округа, на 2025 год»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DejaVu Sans" w:cs="Times New Roman"/>
          <w:sz w:val="28"/>
          <w:szCs w:val="28"/>
          <w:lang w:eastAsia="ar-SA"/>
        </w:rPr>
        <w:t xml:space="preserve">в связи с доведением цен (тарифов) на электрическу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  <w:t xml:space="preserve">ю энергию (мощность) до базовых уровней.</w:t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</w:r>
      <w:r>
        <w:rPr>
          <w:rFonts w:ascii="Times New Roman" w:hAnsi="Times New Roman" w:eastAsia="DejaVu Sans" w:cs="Times New Roman"/>
          <w:color w:val="000000" w:themeColor="text1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yellow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Доходы от возврата остатков субсидий, субвенций и иных межбюджетных трансфертов, имеющих целевое назначение, прошлых лет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(субвенций, субсидий и иных межбюджетных тра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нсфертов) составили 588 892,7 тыс. рублей или 84,8 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% п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лановых назначений (694 840,5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тыс. рублей), из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них основной объем поступлений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yellow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yellow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возврат прочих остатков субсидий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субвенций и иных межбюджетных трансфертов,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имеющих целевое назначение, прошлых лет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из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бюджетов муниципальных образований в сумме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568 302,7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тыс. рублей, из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них: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506 853,8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тыс. рублей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субсидии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софинансирование капитальных вложений в объекты муниципальной собственности для модернизации объектов инфраструктуры в рамках реализации инвестиционного проекта (Анадырск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район);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38 365,2 тыс. рублей – субсидия на приобретение и установку банных модульных комплексов в населенных пунктах Чукотского автономного округа (муниципальные округа Эгвекинот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Провиденский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10 395,1 тыс. рублей –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субсидия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выполнение ремонтных работ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 учреждениях культуры и спорта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Провиденский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муниципальный округ);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3 822,6 тыс. рублей – субсидия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выполнение ремонтных работ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 учреждениях культуры и спорта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(Анадырский муниципальный округ);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813,1 тыс. рублей – субвенци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реализацию прав на получение общедоступного и бесплатного образования в муниципальных образовательных организациях (Чукотский муниципальный район)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735,7 тыс. рублей – субсидия на обеспечение мероприятий по развитию жилищного строительства (муниципальный округ Эгвекинот, сельское поселение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Лорино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589,8 тыс. рублей – субсидия на строительство и реконструкцию (модернизацию) объектов питьевого водоснабжения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Билибинский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муниципальный район)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en-US"/>
        </w:rPr>
        <w:t xml:space="preserve">-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возврат иными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 организациями остатков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субсидий прошлых лет в сумме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4 193,3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тыс. рублей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из них: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минус 22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613,4 тыс. рублей – возврат недополученных доходов гарантирующим поставщикам в связи с доведением цен (тарифов) на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электрическую энергию (мощность) до базовых уровней цен (тарифов) на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электрическую энергию (мощность) за 2024 год, согласно протоколу Комитета государственного регулирования цен и тарифов Чукотского автономного округа от 22 мая 2025 года № 13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9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603,9 тыс. рублей – субсидия на компенсацию расходов, связанных с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карантинными ограничениями в период организации отдыха и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оздоровления детей, проживающих в населенных пунктах Чукотского автономного округа (Региональный Чукотский общественный фонд «Полюс Надежды»);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4 477,1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тыс. рублей –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субсидия на обеспечение затрат, связанных с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доставкой продукции в населенные пункты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Общество с ограниченной ответственностью «Птицефабрика «Северная»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2 975,5 тыс. рублей – субсидия в виде имущественного взноса на финансовое обеспечение затрат уставной деятельности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(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Некоммерческ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ая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организаци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я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«Фонд развития Чукотки»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)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1 500,0 тыс. рублей – гранты начинающим субъектам малого предпринимательства на создание собственного дела (Индивидуальный предприниматель Зубиков Павел Михайлович);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029,4 тыс. рублей – субсидия на возмещение части затрат субъектов малого и среднего предпринимательства, связанных с уплатой первого взноса (аванса) при заключении договоров лизинга оборудования (Общество с ограниченной ответственностью «Авто-Групп СКК»);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возврат бюджетными и автономными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учреждениями остатков субсидий прошлых лет в сумме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15 253,7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тыс. рублей, из них: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14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949,9 тыс. рублей – субсидии прошлых лет (Государственное бюджетное учреждение здравоохранения «Чукотская окружная больница»), в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том числе: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pStyle w:val="4386"/>
        <w:numPr>
          <w:ilvl w:val="0"/>
          <w:numId w:val="27"/>
        </w:numPr>
        <w:ind w:left="0" w:firstLine="99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7 048,7 тыс. рублей – создание (развитие) и оснащение (дооснащение) региональных эндокринологических центров и школ для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пациентов с сахарным диабетом;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27"/>
        </w:numPr>
        <w:ind w:left="0" w:firstLine="99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2 774,0 тыс. рублей – укрепление системы охраны и безопасности объектов здравоохранения;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27"/>
        </w:numPr>
        <w:ind w:left="0" w:firstLine="99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567,2 тыс. рублей – 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27"/>
        </w:numPr>
        <w:ind w:left="0" w:firstLine="99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1 445,6 тыс. рублей – обеспечение закупки авиационных работ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целях оказания медицинской помощи;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27"/>
        </w:numPr>
        <w:ind w:left="0" w:firstLine="99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790,0 тыс. рублей – совершенствование лекарственного обеспечения граждан, имеющих право на льготное лекарственное обеспечение;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27"/>
        </w:numPr>
        <w:ind w:left="0" w:firstLine="99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224,4 тыс. рублей – компенсация расходов, связанных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переездом;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27"/>
        </w:numPr>
        <w:ind w:left="0" w:firstLine="99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100,0 тыс. рублей – развитие материально-технической базы медицинских организаций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106,6 тыс. рублей – субсидии прошлых лет (Государственное автономное учреждение культуры Чукотского автономного округа «Окружном дом народного творчества»)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27"/>
        </w:numPr>
        <w:ind w:left="0" w:firstLine="99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77,4 тыс. рублей – компенсация расходов на оплату стоимости проезда и провоза багажа;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27"/>
        </w:numPr>
        <w:ind w:left="0" w:firstLine="99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29,2 тыс. рублей – п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оддержк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, сохранение, развитие и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популяризаци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 нематериально-культурного наследия народов Чукотского автономного округа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Осуществлен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возврат остатков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межбюджетных трансфертов</w:t>
      </w:r>
      <w:r>
        <w:rPr>
          <w:rFonts w:ascii="Times New Roman" w:hAnsi="Times New Roman" w:eastAsia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полученных в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форме субвенций, субсидий и иных межбюджетных трансфертов, имеющих целевое назначение, 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в сумме 4 445,1 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тыс. рублей, из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них: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за счет средств окружного бюджета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, в связи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с недостижением значений результатов использования субсидии, установленных соглашениями о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предоставлении субсидии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1 586,7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населения 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300 тысяч человек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7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559,9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поддержк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приоритетных направлений агропромышленного комплекса и развитие малых форм хозяйствования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7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210,0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поддержк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семьям, имеющим детей, проживающим на территориях субъектов Российской Федерации, входящих в состав Дальневосточного федерального округа, в части погашения обязательств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ипотечным жилищным кредитам (займам)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7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- возврат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остатков межбюджетных трансфертов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неиспользованных в отчетном финансовом году: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723,9 тыс. рублей – субсидия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строительство и реконструкцию (модернизацию)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бъектов питьевого водоснабжения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7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391,1 тыс. рублей – субсидия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софинан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сирование расходов, связанных с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оказанием государственной социальной помощи на основании социального контракт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отдельным категориям граждан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80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361,8 тыс. рублей – субсидия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выплату регионал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ьных социальных доплат к пенсии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8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193,7 тыс. рублей 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ины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межбюджетны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трансферт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ы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</w:r>
      <w:r>
        <w:rPr>
          <w:rStyle w:val="4381"/>
          <w:rFonts w:ascii="Times New Roman" w:hAnsi="Times New Roman" w:eastAsia="Calibri" w:cs="Times New Roman"/>
          <w:sz w:val="28"/>
          <w:szCs w:val="28"/>
          <w:lang w:eastAsia="en-US"/>
        </w:rPr>
        <w:footnoteReference w:id="82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По результатам проверки</w:t>
      </w:r>
      <w:r>
        <w:rPr>
          <w:rStyle w:val="4381"/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footnoteReference w:id="83"/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 использования средств федерального бюджета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 направленных на реализацию мероприятий плана социального развития центров экономического роста Чукотского автономного округа</w:t>
      </w:r>
      <w:r>
        <w:rPr>
          <w:rStyle w:val="4381"/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footnoteReference w:id="84"/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осуществлен возврат в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 сумме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 240,6 тыс. рублей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за счет средств подрядчика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Общество с ограниченной ответственностью «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Теплоэнергосервис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ДКМ»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),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выполняю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щего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работ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ы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по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строительству объекта «Внутриплощадочные автомобильные дороги, внутриплощадочные сети теплоснабжения, водоснабжения, водоотведения и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электроснабжения для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промышленного парка «Анадырь» ТОР «Чукотка»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 Исполнение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окружного бюджета по расходам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0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году окружной бюджет по расходам исполнен в объеме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482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811,4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рублей,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98,7 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 ассигнований, утвержденных сводной бюджетной росписью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85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Неисполненные назначения составили </w:t>
      </w:r>
      <w:r>
        <w:rPr>
          <w:rFonts w:ascii="Times New Roman" w:hAnsi="Times New Roman" w:cs="Times New Roman"/>
          <w:sz w:val="28"/>
          <w:szCs w:val="28"/>
        </w:rPr>
        <w:t xml:space="preserve">899 959,7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</w:t>
      </w:r>
      <w:r>
        <w:rPr>
          <w:rFonts w:ascii="Times New Roman" w:hAnsi="Times New Roman" w:cs="Times New Roman"/>
          <w:sz w:val="28"/>
          <w:szCs w:val="28"/>
        </w:rPr>
        <w:t xml:space="preserve"> по 21 главному распорядителю бюджетных средств, </w:t>
      </w:r>
      <w:r>
        <w:rPr>
          <w:rFonts w:ascii="Times New Roman" w:hAnsi="Times New Roman" w:cs="Times New Roman"/>
          <w:sz w:val="28"/>
          <w:szCs w:val="28"/>
        </w:rPr>
        <w:t xml:space="preserve">что связано с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осуществлением финансирования согласно заявленной потребности,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экономией по результатам проведения закупок товаров, работ, услуг для обеспечения государственных нужд, </w:t>
      </w:r>
      <w:r>
        <w:rPr>
          <w:rFonts w:ascii="Times New Roman" w:hAnsi="Times New Roman" w:cs="Times New Roman"/>
          <w:sz w:val="28"/>
          <w:szCs w:val="28"/>
        </w:rPr>
        <w:t xml:space="preserve">переносом на следующий отчетный период реализации программных мероприятий,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 распределением </w:t>
      </w:r>
      <w:r>
        <w:rPr>
          <w:rFonts w:ascii="Times New Roman" w:hAnsi="Times New Roman" w:cs="Times New Roman"/>
          <w:sz w:val="28"/>
          <w:szCs w:val="28"/>
        </w:rPr>
        <w:t xml:space="preserve">средств резервного фонда Правительства Чукотского автономного округа на непредвиденные расходы.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.1. Исполнение окружного бюджета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разрезе разделов и подразделов классификации расходов бюджета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исполнении окружного бюджета в 2025 году по расходам в разрезе разделов функциональной классификации расходов бюджетов представлена в таблице № 8.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outlineLvl w:val="0"/>
      </w:pPr>
      <w:r>
        <w:rPr>
          <w:rFonts w:ascii="Times New Roman" w:hAnsi="Times New Roman" w:eastAsia="Calibri" w:cs="Times New Roman"/>
          <w:sz w:val="28"/>
          <w:szCs w:val="28"/>
        </w:rPr>
        <w:t xml:space="preserve">Таблица № 8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right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417"/>
        <w:gridCol w:w="1276"/>
        <w:gridCol w:w="1559"/>
        <w:gridCol w:w="1134"/>
      </w:tblGrid>
      <w:tr>
        <w:tblPrEx/>
        <w:trPr>
          <w:trHeight w:val="567"/>
          <w:tblHeader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показателя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(раздел)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 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Структура,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24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Расходы бюджета – 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69 382 771,1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68 482 811,4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72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01 Общегосударственные вопросы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3 040 260,4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3 020 934,8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99,4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76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02 Национальная оборона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118 107,8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114 781,5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97,2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03 Национальная безопасность и правоохранительная деятельность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856 081,5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835 512,1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97,6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71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04 Национальная экономика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16 100 633,9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15 795 079,5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98,1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23,1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62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05 Жилищно-коммунальное хозяйство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21 423 435,2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21 240 431,0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99,1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31,0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93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06 Охрана окружающей среды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357 423,1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357 205,3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70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07 Образование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9 922 854,1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9 717 992,4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97,9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14,2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59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08 Культура, кинематография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776 374,6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766 615,4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92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09 Здравоохранение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3 804 149,1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3 745 714,3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98,5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67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 Социальная политика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5 875 425,9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5 828 054,5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99,2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8,5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72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11 Физическая культура и спорт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819 414,7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780 170,0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95,2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75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 Средства массовой информации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341 922,7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341 922,7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66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 Обслуживание государственного долга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25 615,7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24 018,9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93,8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менее 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53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14 Межбюджетные трансферты общего характера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5 921 072,4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5 914 379,0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основную долю в структуре расходов окружного бюджета составляют расходы по разделу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Жилищно-коммунальное хозяйство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(31 %).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на финансирование отраслей «социального блока» в общих расходах составляют в 2025 году 30,4 % (образование – 14,2 %, культура, кинематография – 1,1 %, здравоохранение – 5,5 %, социальная политика – 8,5 %, физическая культура и спорт – 1,1 %).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окружного бюджета по расходам в разрезе разделов и подразделов классификации расходов бюджета за 2025 год отражено в Приложении 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Заключению.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4.2. Исполнение окружного бюджета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разрезе видов расходов бюджетной классификации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исполнении бюджетных назначений по расходам в 2025 году в разрезе видов расходов бюджетной классификации представлены в таблице № 9.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i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iCs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Таблица № 9</w:t>
      </w:r>
      <w:r>
        <w:rPr>
          <w:rFonts w:ascii="Times New Roman" w:hAnsi="Times New Roman" w:eastAsia="Times New Roman" w:cs="Times New Roman"/>
          <w:i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Cs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95"/>
        <w:gridCol w:w="1372"/>
        <w:gridCol w:w="1372"/>
        <w:gridCol w:w="1529"/>
        <w:gridCol w:w="1376"/>
      </w:tblGrid>
      <w:tr>
        <w:tblPrEx/>
        <w:trPr>
          <w:trHeight w:val="523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показателя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(вид расходов)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 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Отклонение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(гр.3-гр.2)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исполнения, %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Расходы бюджета - 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69 382 771,1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68 482 811,4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-899 959,7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100 Расходы на выплаты персоналу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5 689 306,5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5 652 877,7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-36 428,8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200 Закупка товаров, работ и услуг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3 358 797,1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3 200 724,7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-158 072,4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95,3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300 Социальное обеспечение и иные выплаты населению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4 136 615,2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4 101 580,4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-35 034,8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400 Капитальные вложения 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объекты государственной собственности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2 352 167,0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2 081 098,9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-271 068,1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88,5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500 Межбюджетные трансферты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18 581 373,2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18 329 558,6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-251 814,6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600 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8 923 277,3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8 843 845,2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-79 432,1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700 Обслуживание государственного долга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25 615,7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24 018,9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-1 596,8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93,8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800 Иные бюджетные ассигнования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26 315 619,1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26 249 107,0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-66 512,1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Основную долю в структуре расходов окружного бюджета составляют расходы по виду 800 «Иные бюджетные ассигнования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» (38,3 %), исполненные в сумме 26 249 107,0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тыс. рублей или 99,7 % плановых назначений (26 315 619,1 тыс. рублей).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Межбюджетные трансферты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br/>
        <w:t xml:space="preserve">(вид расходов 500)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 составе расходов окружного бюджета предусмотрены 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межбюджетные трансферты (вид расходов 500)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в сумме 18 581 373,2 тыс. рублей (26,8 %)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исполнение составило 98,6 % плановых назначений или 18 329 558,6 тыс. рублей, в том числе: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- 17 712 842,7 тыс. рублей –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местным бюджетам;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- 616 595,5 тыс. рублей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внебюджетны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 xml:space="preserve">ам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473 038,0 тыс. рублей – иной межбюджетный трансферт на выполнение территориальной программы обязательного медицинского страхования (Территориальный фонд обязательного медицинского страхования по Чукотскому автономному округу);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143 557,6 тыс. рублей – субвенции на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финансовое обе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спечение предоставления ежемесячного пособия в связи с рождением и воспитанием ребенка (142 847,0 тыс. рублей) и на осуществление социальных выплат безработным гражданам (710,6 тыс. рублей) (Фонд пенсионного и социального страхования Российской Федерации);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- 120,3 тыс. рублей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федеральному бюджету (передача территориальным федеральным органам исполнительной власти части полномочий по составлению протоколов об административных правонарушениях, посягающих на общественный порядок и общественную безопасность).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Межбюджетные трансферты в 2025 году предоставлены в рамках 16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государственных программ Чукотского автономного округа в объеме </w:t>
      </w:r>
      <w:r>
        <w:rPr>
          <w:rFonts w:ascii="Times New Roman" w:hAnsi="Times New Roman"/>
          <w:sz w:val="28"/>
          <w:szCs w:val="28"/>
        </w:rPr>
        <w:t xml:space="preserve">18 229 198,4</w:t>
      </w:r>
      <w:r>
        <w:rPr>
          <w:rFonts w:ascii="Times New Roman" w:hAnsi="Times New Roman"/>
          <w:sz w:val="28"/>
          <w:szCs w:val="28"/>
        </w:rPr>
        <w:t xml:space="preserve"> тыс. рублей или 98,7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% плановых назначений, в том числе дотации предоставлены в рамках одной государственной программы, субсидии по 13 государственным программам, субвенции по пяти государственным программам и иные межбюджетные трансферты по двум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государственным программам.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 непрограммным направлениям деятельности межбюджетные трансферты перечислены в </w:t>
      </w:r>
      <w:r>
        <w:rPr>
          <w:rFonts w:ascii="Times New Roman" w:hAnsi="Times New Roman"/>
          <w:sz w:val="28"/>
          <w:szCs w:val="28"/>
        </w:rPr>
        <w:t xml:space="preserve">сумме</w:t>
      </w:r>
      <w:r>
        <w:rPr>
          <w:rFonts w:ascii="Times New Roman" w:hAnsi="Times New Roman"/>
          <w:sz w:val="28"/>
          <w:szCs w:val="28"/>
        </w:rPr>
        <w:t xml:space="preserve"> 100 360,2 тыс. рублей или 99,5 % показателя сводной росписи.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исполнении бюджетных назначений по расходам в 2025 году в разрезе видов межбюджетных трансфертов представлены в таблице № 10.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Таблица № 10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14"/>
        <w:gridCol w:w="1689"/>
        <w:gridCol w:w="1528"/>
        <w:gridCol w:w="1537"/>
        <w:gridCol w:w="1376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показателя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(вид расходов)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Отклонение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(гр.3-гр.2)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8" w:type="pc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6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8" w:type="pc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500 Межбюджетные трансферты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18 581 373,2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18 329 558,6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-251 814,6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98,6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510 Дотации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5 716 701,1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5 710 007,9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-6 693,2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520 Субсидии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5 391 727,8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5 154 567,0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-237 160,8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95,6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530 Субвенции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6 746 099,7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6 738 358,3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-7 741,4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540 Иные межбюджетные трансферты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726 844,6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726 625,4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-219,2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ниже среднего уровня исполнения межбюджетных трансфертов (98,3 %) исполнены расходы по трем государственным программам «Развитие жилищно-коммунального хозяйства и водохозяйственного комплекса Чукотского</w:t>
      </w:r>
      <w:r>
        <w:rPr>
          <w:rFonts w:ascii="Times New Roman" w:hAnsi="Times New Roman"/>
          <w:sz w:val="28"/>
          <w:szCs w:val="28"/>
        </w:rPr>
        <w:t xml:space="preserve"> автономного округа» (89,4 %), «Развитие жилищного строительства в Чукотском автономном округе» (94,8 %), «Предупреждение чрезвычайных ситуаций природного и техногенного характера и обеспечение пожарной безопасности в Чукотском автономном округе» (96,1 %).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Наибольший объем межбюджетных трансфертов приходится на две государственные программы</w:t>
      </w:r>
      <w:r>
        <w:t xml:space="preserve"> «</w:t>
      </w:r>
      <w:r>
        <w:rPr>
          <w:rFonts w:ascii="Times New Roman" w:hAnsi="Times New Roman"/>
          <w:sz w:val="28"/>
          <w:szCs w:val="28"/>
        </w:rPr>
        <w:t xml:space="preserve">Развитие образования и науки Чукотского автономного округа» (39,9 % или 7 317 021,7 тыс. рублей) и «Управление региональными финансами и имуществом Чукотского автономного округа» (32,1 % или 5 876 729,7 тыс. рублей).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объем перечисленных межбюджетных трансфертов приходится на разделы 07 «Образование» (39,7 % межбюджетных трансфертов) и 14 «Межбюджетные трансферты общего характера бюджетам бюджетной системы Российской Федерации» (32,3 %).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межбюджетных трансфертов осуществляли 15 главных распорядителей, из них два главных распорядителя исполнение по межбюджетным трансфертам осуществили в полн</w:t>
      </w:r>
      <w:r>
        <w:rPr>
          <w:rFonts w:ascii="Times New Roman" w:hAnsi="Times New Roman"/>
          <w:sz w:val="28"/>
          <w:szCs w:val="28"/>
        </w:rPr>
        <w:t xml:space="preserve">ом объеме (Департамент здравоохранения Чукотского автономного округа и Департамент природных ресурсов и экологии Чукотского автономного округа), уровень исполнения по остальным главным распорядителям варьируется от 93,7 % до 99,9 % предусмотренного объема.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причинами неисполнения плановых показателей по виду расходов «Межбюджетные трансферты» является предоставление средств по фактическ</w:t>
      </w:r>
      <w:r>
        <w:rPr>
          <w:rFonts w:ascii="Times New Roman" w:hAnsi="Times New Roman"/>
          <w:sz w:val="28"/>
          <w:szCs w:val="28"/>
        </w:rPr>
        <w:t xml:space="preserve">ой</w:t>
      </w:r>
      <w:r>
        <w:rPr>
          <w:rFonts w:ascii="Times New Roman" w:hAnsi="Times New Roman"/>
          <w:sz w:val="28"/>
          <w:szCs w:val="28"/>
        </w:rPr>
        <w:t xml:space="preserve"> потребност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trike/>
          <w:sz w:val="28"/>
          <w:szCs w:val="28"/>
        </w:rPr>
      </w:r>
      <w:r>
        <w:rPr>
          <w:rFonts w:ascii="Times New Roman" w:hAnsi="Times New Roman"/>
          <w:strike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2025 году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дотации (вид расходов 510)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утверждены в объеме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5 716 701,1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рублей, в том числе: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- 4 851 760,5 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выравнивание бюджетной обеспеченности;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- 713 084,1 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сбалансированности бюджетов;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- 151 856,5 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достижение показателей деятельности органов местного самоуправления.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Дотации на выравнивание бюджетной обеспеченности муниципальных районов и округов, городских округов и поселений (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вид расходов 511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предоставлены 26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муниципальным образованиям (одно городское и 19 сельских поселений, два муниципальных района и четыре муниципальных округа)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сумме 4 845 067,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путем заключения соглашений о мерах по обеспечению устойчивого социально-экономического развития и оздоровления муниципальных финансов муниципальных образований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8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Соглашениями о предоставлении дотаций на выравнивание бюджет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ной обеспеченности муниципальных образований закреплен перечень обязательств и мероприятий по обеспечению устойчивого социально-экономического развития и оздоровления муниципальных финансов состоящий из 3 обязательств (из них: рост (темп роста) налоговых 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неналоговых доходов по итогам исполнения бюджета муниципального образования за очередной финансовый год по сравнению с уровнем исполнения предыдущего года) и 17 мероприятий по</w:t>
      </w:r>
      <w:r>
        <w:rPr>
          <w:rFonts w:ascii="Times New Roman" w:hAnsi="Times New Roman" w:eastAsia="Times New Roman" w:cs="Times New Roman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повышению эффективности бюджетных средств (из них:</w:t>
      </w:r>
      <w:r>
        <w:rPr>
          <w:rFonts w:ascii="Times New Roman" w:hAnsi="Times New Roman" w:eastAsia="Times New Roman" w:cs="Times New Roman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проведение оценки эффективности налоговых льгот (пониженных налоговых ставок по налогам), соблюдение норматива формирования расходов на содержание органов местного самоуправления муниципальных образований,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непринятие решений о повышении оплаты труда работников органов местного самоуправления сверх темпов и сроков, предусмотренных для работников органов государственной власти на региональном уровне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Иные дотации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вид расходов 512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) предоставлены в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сумме 864 940,6 тыс. рублей или 100 % плановых назначений, в том числе: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713 084,1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сбалансированности бюджетов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8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(четыре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 округа и два муниципальных района);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- 151 856,5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достижение показателей деятельности органов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8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(четыре муниципальных округа, два муниципальных района и один городской округ).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предоставленных бюджетам муниципальных образований </w:t>
      </w:r>
      <w:r>
        <w:rPr>
          <w:rFonts w:ascii="Times New Roman" w:hAnsi="Times New Roman"/>
          <w:b/>
          <w:sz w:val="28"/>
          <w:szCs w:val="28"/>
        </w:rPr>
        <w:t xml:space="preserve">субсидиях (вид расходов 520)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2025 году отражена </w:t>
      </w:r>
      <w:r>
        <w:rPr>
          <w:rFonts w:ascii="Times New Roman" w:hAnsi="Times New Roman"/>
          <w:sz w:val="28"/>
          <w:szCs w:val="28"/>
        </w:rPr>
        <w:t xml:space="preserve">в таблице № 11.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Таблица № 11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(тыс. рублей)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43"/>
        <w:gridCol w:w="1559"/>
        <w:gridCol w:w="1417"/>
        <w:gridCol w:w="1417"/>
        <w:gridCol w:w="1985"/>
      </w:tblGrid>
      <w:tr>
        <w:tblPrEx/>
        <w:trPr>
          <w:trHeight w:val="403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показателя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(вид расходов)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Утверждено 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Отклонение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(гр.3-гр.2)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75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3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520 Субсидии – всего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5 391 727,8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5 154 567,0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-237 160,8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95,6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521 Субсидии, за исключением субсидий на софинансирование капитальных вложений в объекты государственной (муниципальной) собственности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3 799 919,8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3 729 003,2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-70 916,6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522 Субсидии на софинансирование капитальных вложений в объекты муниципальной собственности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1 420 504,4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1 254 260,6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-166 243,8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88,3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6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523 Консолидированные субсидии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171 303,6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171 303,2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-0,4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Предоставление субсидий муниципальным образованиям регулируется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Правилами формирования, предоставления и распределения субсидий из окружного бюджета бюджетам муниципальных образований Чукотского автономного округа, утвержденными Постановлением Правительства Чукотского автономного округа от 27 января 2020 года № 24,</w:t>
      </w:r>
      <w:r>
        <w:rPr>
          <w:rFonts w:ascii="Times New Roman" w:hAnsi="Times New Roman" w:cs="Times New Roman"/>
          <w:sz w:val="28"/>
          <w:szCs w:val="28"/>
        </w:rPr>
        <w:t xml:space="preserve"> а также порядками предоставления субсидий из окружного бюджета бюджетам муниципальных образований, утвержденными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 рамках реализации 13 государственных программ Чукотского автономного округа.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 отчетном периоде 12 главных распорядителей средств о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кружного бюджета заключили соглашения о предоставлении субсидий на софинансирование расходных обязательств, возникающих при выполнении полномочий органов местного самоуправления по вопросам местного значения, с учетом установленного уровня софинансирования</w:t>
      </w:r>
      <w:r>
        <w:rPr>
          <w:rFonts w:ascii="Times New Roman" w:hAnsi="Times New Roman" w:eastAsia="Calibri" w:cs="Times New Roman"/>
          <w:sz w:val="28"/>
          <w:szCs w:val="28"/>
          <w:vertAlign w:val="superscript"/>
          <w:lang w:eastAsia="en-US"/>
        </w:rPr>
        <w:footnoteReference w:id="89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исполнение составило 5 154 567,0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тыс. рублей.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структуре предоставленных субсидий наибольший удельный вес занимают: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- 22,3 % или 1 150 000,0 тыс. рублей – обеспечение жителей округа социально значимыми продовольственными товарами (Департамент промышленной политики Чукотского автономного округа);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- 8,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% или 444 859,6 тыс. рублей – реконструкция объекта инфраструктуры «Плотина на ручье Певек» (Департамент строительства и жилищно-коммунального хозяйства Чукотского автономного округа);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- 6,9 % или 353 535,4 тыс. рублей – соз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(Департамент строительства и жилищно-коммунального хозяйства Чукотского автономного округа)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Субвенции (вид расходов 530)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из окружного бюджета на осуществление органами местного самоуправления отдельных государственных полномочий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предоставлены на основании Порядка предоставления из окружного бюджета субвенций местным бюджетам Чукотского автономного округа</w:t>
      </w:r>
      <w:r>
        <w:rPr>
          <w:rFonts w:ascii="Times New Roman" w:hAnsi="Times New Roman" w:eastAsia="Calibri" w:cs="Times New Roman"/>
          <w:sz w:val="28"/>
          <w:szCs w:val="28"/>
          <w:vertAlign w:val="superscript"/>
          <w:lang w:eastAsia="en-US"/>
        </w:rPr>
        <w:footnoteReference w:id="90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в размере 6 738 358,3 тыс. рублей или 99,9 % плановых значений, из них: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- 6 322 126,3 тыс. рублей – реализаци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я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прав на получение общедоступного и бесплатного образования в муниципальных образовательных организациях, входящих в Чукотский (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надмуниципальный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) образовательный округ (Департамент образования и науки Чукотского автономного округа);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- 171 283,1 тыс. рублей – предоставление жилых помещений детям-сиротам и детям, оставшимся без попечения родителей, лицам из их числа по договорам найма специализированных жилых помещений (Департамент социальной политики Чукотского автономного округа).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Иные межбюджетные трансферты (вид расходов 540)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предусмотрены в объеме 726 844,6 тыс. рублей, исполнение составило 726 625,4 тыс. рублей, из них 65,1 % направлен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Территориальному фонду обязательного медицинского страхования по Чукотскому автономному округу (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473 078,0 тыс. рублей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или 100 % плановых назначений)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(таблица № 12).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Таблица № 12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tbl>
      <w:tblPr>
        <w:tblW w:w="10097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2268"/>
        <w:gridCol w:w="1417"/>
        <w:gridCol w:w="1701"/>
      </w:tblGrid>
      <w:tr>
        <w:tblPrEx/>
        <w:trPr>
          <w:trHeight w:val="389"/>
          <w:tblHeader/>
        </w:trPr>
        <w:tc>
          <w:tcPr>
            <w:shd w:val="clear" w:color="ffffff" w:fill="ffffff"/>
            <w:tcW w:w="471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br/>
              <w:t xml:space="preserve">показателя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2268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Утверждено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110"/>
          <w:tblHeader/>
        </w:trPr>
        <w:tc>
          <w:tcPr>
            <w:shd w:val="clear" w:color="ffffff" w:fill="ffffff"/>
            <w:tcW w:w="471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74"/>
        </w:trPr>
        <w:tc>
          <w:tcPr>
            <w:shd w:val="clear" w:color="ffffff" w:fill="ffffff"/>
            <w:tcW w:w="471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540 Иные межбюджетные трансферты – всего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bottom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726 844,6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726 625,4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711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на выполнение территориальной программы обязательного медицинского страхования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  <w:p>
            <w:pPr>
              <w:spacing w:before="0" w:beforeAutospacing="0" w:after="0" w:afterAutospacing="0" w:line="240" w:lineRule="auto"/>
              <w:tabs>
                <w:tab w:val="left" w:pos="4309" w:leader="none"/>
              </w:tabs>
              <w:rPr>
                <w:rFonts w:ascii="Times New Roman" w:hAnsi="Times New Roman" w:eastAsia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  <w:szCs w:val="18"/>
              </w:rPr>
              <w:t xml:space="preserve">- в рамках базовой программы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  <w:szCs w:val="18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  <w:szCs w:val="18"/>
              </w:rPr>
              <w:t xml:space="preserve">- сверх базовой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473 038,0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</w:p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244 928,6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</w:p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  <w:t xml:space="preserve">228 109,4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473 038,0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</w:p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244 928,6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</w:rPr>
            </w:r>
          </w:p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  <w:t xml:space="preserve">228 109,4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711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за достижение показателей деятельности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2268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37 649,3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37 649,3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711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2268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214 048,3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214 048,3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711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на обеспечение выплат ежемесячного денежного вознаграждения советникам директоров по воспитанию и взаимодействию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2268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2 109,0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1 889,8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89,6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Бюджетам муниципальных образований иные межбюджетные трансферты направлены в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объеме 253 806,6 тыс. рублей, исполнение составило 253 587,3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тыс. рублей.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outlineLvl w:val="0"/>
      </w:pPr>
      <w:r/>
      <w:bookmarkStart w:id="0" w:name="undefined"/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Субсидии бюджетным, автономным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br/>
        <w:t xml:space="preserve">и иным некоммерческим организациям (вид расходов 600)</w:t>
      </w:r>
      <w:bookmarkEnd w:id="0"/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составе расходов окружного бюджета предусмотрены </w:t>
      </w:r>
      <w:r>
        <w:rPr>
          <w:rFonts w:ascii="Times New Roman" w:hAnsi="Times New Roman"/>
          <w:b/>
          <w:sz w:val="28"/>
          <w:szCs w:val="28"/>
        </w:rPr>
        <w:t xml:space="preserve">субсидии бюджетным, автономным и иным некоммерческим организациям </w:t>
      </w:r>
      <w:r>
        <w:rPr>
          <w:rFonts w:ascii="Times New Roman" w:hAnsi="Times New Roman" w:eastAsiaTheme="minorHAnsi"/>
          <w:b/>
          <w:sz w:val="28"/>
          <w:szCs w:val="28"/>
        </w:rPr>
        <w:t xml:space="preserve">на выполнение государственного задания и на иные цели, а также грантов</w:t>
      </w:r>
      <w:r>
        <w:rPr>
          <w:rFonts w:ascii="Times New Roman" w:hAnsi="Times New Roman" w:eastAsiaTheme="minorHAnsi"/>
          <w:sz w:val="28"/>
          <w:szCs w:val="28"/>
        </w:rPr>
        <w:t xml:space="preserve"> </w:t>
      </w:r>
      <w:r>
        <w:rPr>
          <w:rFonts w:ascii="Times New Roman" w:hAnsi="Times New Roman" w:eastAsiaTheme="minorHAnsi"/>
          <w:b/>
          <w:sz w:val="28"/>
          <w:szCs w:val="28"/>
        </w:rPr>
        <w:t xml:space="preserve">в форме субсидий </w:t>
      </w:r>
      <w:r>
        <w:rPr>
          <w:rFonts w:ascii="Times New Roman" w:hAnsi="Times New Roman"/>
          <w:b/>
          <w:sz w:val="28"/>
          <w:szCs w:val="28"/>
        </w:rPr>
        <w:t xml:space="preserve">(вид расходов 600)</w:t>
      </w:r>
      <w:r>
        <w:rPr>
          <w:rFonts w:ascii="Times New Roman" w:hAnsi="Times New Roman"/>
          <w:sz w:val="28"/>
          <w:szCs w:val="28"/>
        </w:rPr>
        <w:t xml:space="preserve"> в сумме 8 923 277,3 тыс. рублей, исполнение составило 8 843 845,2 тыс. рублей или 99,1 %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плановых назначений (таблица № 13).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bCs/>
          <w:sz w:val="28"/>
          <w:szCs w:val="28"/>
          <w:highlight w:val="none"/>
        </w:rPr>
      </w:r>
      <w:r>
        <w:rPr>
          <w:rFonts w:ascii="Times New Roman" w:hAnsi="Times New Roman"/>
          <w:bCs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Cs/>
          <w:sz w:val="28"/>
          <w:szCs w:val="28"/>
          <w:highlight w:val="none"/>
        </w:rPr>
      </w:r>
      <w:r>
        <w:rPr>
          <w:rFonts w:ascii="Times New Roman" w:hAnsi="Times New Roman"/>
          <w:bCs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Cs/>
          <w:sz w:val="28"/>
          <w:szCs w:val="28"/>
        </w:rPr>
        <w:t xml:space="preserve">Таблица № 13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(тыс. рублей)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892"/>
        <w:gridCol w:w="1370"/>
        <w:gridCol w:w="1261"/>
        <w:gridCol w:w="1347"/>
        <w:gridCol w:w="1474"/>
      </w:tblGrid>
      <w:tr>
        <w:tblPrEx/>
        <w:trPr>
          <w:trHeight w:val="572"/>
          <w:tblHeader/>
        </w:trPr>
        <w:tc>
          <w:tcPr>
            <w:shd w:val="clear" w:color="ffffff" w:fill="ffffff"/>
            <w:tcW w:w="208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показателя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(вид расходов)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3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 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67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2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Отклонение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(гр.3-гр.2)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9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W w:w="208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3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67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2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9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08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600 Субсидии некоммерческим организациям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8 923 277,3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8 843 845,2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-79 432,1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99,1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082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611 Субсидии бюджетным учреждениям на финансовое обеспечение государственного задания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990 540,0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938 624,1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-51 915,9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94,8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082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612 Субсидии бюджетным учреждениям на иные цели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2 483 225,8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2 481 394,7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-1 831,1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082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621 Субсидии автономным учреждениям на финансовое обеспечение государственного задания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2 768 293,0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2 768 293,0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082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622 Субсидии автономным учреждениям на иные цели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771 589,0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753 549,3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-18 039,7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97,7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082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623 Гранты в форме субсидии автономным учреждениям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082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631 Субсидии на возмещение недополученных доходов и (или) возмещение фактически понесенных затрат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130 936,3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130 936,1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-0,2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2082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633 Субсидии (гранты в форме субсидий) не подлежащие казначейскому сопровождению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1 778 683,2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1 771 048,0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2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-7 635,2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Финансовое обеспечение деятельности подведомственных бюджетных и автоном</w:t>
      </w:r>
      <w:r>
        <w:rPr>
          <w:rFonts w:ascii="Times New Roman" w:hAnsi="Times New Roman"/>
          <w:sz w:val="28"/>
          <w:szCs w:val="28"/>
        </w:rPr>
        <w:t xml:space="preserve">ных учреждений осуществляется в рамках утвержденного плана </w:t>
      </w:r>
      <w:r>
        <w:rPr>
          <w:rFonts w:ascii="Times New Roman" w:hAnsi="Times New Roman"/>
          <w:sz w:val="28"/>
          <w:szCs w:val="28"/>
        </w:rPr>
        <w:t xml:space="preserve">финансово-хозяйственной деятельности, и предусмотрено за счет средств </w:t>
      </w:r>
      <w:r>
        <w:rPr>
          <w:rFonts w:ascii="Times New Roman" w:hAnsi="Times New Roman"/>
          <w:sz w:val="28"/>
          <w:szCs w:val="28"/>
        </w:rPr>
        <w:t xml:space="preserve">субсидий на выполнение государственного задания, субсидий на иные цели, и получаемых от приносящей доход деятельности средств. 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Субсидии </w:t>
      </w:r>
      <w:r>
        <w:rPr>
          <w:rFonts w:ascii="Times New Roman" w:hAnsi="Times New Roman"/>
          <w:sz w:val="28"/>
          <w:szCs w:val="28"/>
        </w:rPr>
        <w:t xml:space="preserve">на финансовое обеспечение государственного задания (вид расходов 611, 621)</w:t>
      </w:r>
      <w:r>
        <w:rPr>
          <w:rFonts w:ascii="Times New Roman" w:hAnsi="Times New Roman"/>
          <w:sz w:val="28"/>
          <w:szCs w:val="28"/>
        </w:rPr>
        <w:t xml:space="preserve"> в с</w:t>
      </w:r>
      <w:r>
        <w:rPr>
          <w:rFonts w:ascii="Times New Roman" w:hAnsi="Times New Roman"/>
          <w:sz w:val="28"/>
          <w:szCs w:val="28"/>
        </w:rPr>
        <w:t xml:space="preserve">умме 3 706 </w:t>
      </w:r>
      <w:r>
        <w:rPr>
          <w:rFonts w:ascii="Times New Roman" w:hAnsi="Times New Roman"/>
          <w:sz w:val="28"/>
          <w:szCs w:val="28"/>
        </w:rPr>
        <w:t xml:space="preserve">917,1 тыс. рублей или 98,6 % утвержденных бюджетных назначений предоставлены 22 учреждени</w:t>
      </w:r>
      <w:r>
        <w:rPr>
          <w:rFonts w:ascii="Times New Roman" w:hAnsi="Times New Roman"/>
          <w:sz w:val="28"/>
          <w:szCs w:val="28"/>
        </w:rPr>
        <w:t xml:space="preserve">ям (восемь учреждений бюджетные – 938 624,1 т</w:t>
      </w:r>
      <w:r>
        <w:rPr>
          <w:rFonts w:ascii="Times New Roman" w:hAnsi="Times New Roman"/>
          <w:sz w:val="28"/>
          <w:szCs w:val="28"/>
        </w:rPr>
        <w:t xml:space="preserve">ыс. рублей, 14 учреждений автономные – 2 768 293,0 тыс. рублей), полномочия учредителя которых осуществлялись 1</w:t>
      </w: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 главными распорядителями средств окружного бюджета.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Наибольший размер субсидии на финансовое обеспечение государственного задания предоставлен следующим учреждениям: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Чукотского автономного округа «Чукотский многопрофильный колледж» – </w:t>
      </w:r>
      <w:r>
        <w:rPr>
          <w:rFonts w:ascii="Times New Roman" w:hAnsi="Times New Roman"/>
          <w:sz w:val="28"/>
          <w:szCs w:val="28"/>
        </w:rPr>
        <w:t xml:space="preserve">559 703,6 тыс. рублей или 15,1 %;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 Автономное учреждение Чукотского автономного округа «Управление технического обеспечения и эксплуатации имущества Чукотского автономного округа» – 425 133,7 тыс. рублей или 11,4 %;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«Дорожно-эксплуатационное Управление Чукотского автономного округа» – 256 600,2 тыс. рублей или 6,9 %.</w:t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Согласно данным отчетов об исполнении плана финансово-хозяйств</w:t>
      </w:r>
      <w:r>
        <w:rPr>
          <w:rFonts w:ascii="Times New Roman" w:hAnsi="Times New Roman"/>
          <w:sz w:val="28"/>
          <w:szCs w:val="28"/>
        </w:rPr>
        <w:t xml:space="preserve">енной деятельности подведомственных учреждений (форма 0503737), с учетом остатков по состоянию на 1 января 2025 года (42 509,2 тыс. рублей), расходование средств субсидии на финансовое обеспечение государственного задания составило 3 649 475,2 тыс. рублей.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Наибольшую долю составили расходы на выплаты персоналу – 2 271 610,3 тыс. рублей или 62,2 % общего объема расходов и на закупку товаров, работ и услуг – 1 335 134,7 тыс. рублей или 36,6 %.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Остаток субсидии на выполнение государственного задания </w:t>
      </w:r>
      <w:r>
        <w:rPr>
          <w:rFonts w:ascii="Times New Roman" w:hAnsi="Times New Roman" w:cs="Times New Roman"/>
          <w:sz w:val="28"/>
          <w:szCs w:val="28"/>
        </w:rPr>
        <w:t xml:space="preserve">на счетах бюджетных и автономных учреждений по состоянию на 1 января 2026 года составил 103 278,8 тыс. рублей, что на 60 769,6 тыс. рублей больше остатка по состоянию на 1 января 2025 года (42 509,2 тыс. рублей). </w:t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Наибольший объем неиспользованных бюджетных средств числится на счетах следующих учреждений: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- 37 056,6 тыс. рублей – Государственное бюджетное учреждение «Дорожно-эксплуатационное Управление Чукотского автономного округа»;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- 12 840,5 тыс. рублей – Автономное учреждение Чукотского автономного округа «Управление технического обеспечения и эксплуатации имущества Чукотского автономного округа»;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- 10 564,3 тыс. рублей – Государственное автономное учреждение культуры Чукотского автономного округа «Окружной Дом народного творчества»;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- 7 714,2 тыс. рублей – Государственное автономное профессиональное образовательное учреждение Чукотского автономного округа «Чукотский многопрофильный колледж».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Субсидии на иные цели (вид расходов 612, 622)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предоставлены бюджетным и автономным учрежден</w:t>
      </w:r>
      <w:r>
        <w:rPr>
          <w:rFonts w:ascii="Times New Roman" w:hAnsi="Times New Roman" w:cs="Times New Roman"/>
          <w:sz w:val="28"/>
          <w:szCs w:val="28"/>
        </w:rPr>
        <w:t xml:space="preserve">иям в сумме 3 234 944,0 тыс. рублей или 99,4 % плановых назначений (3 254 814,8 тыс. рублей), на основании заключенных соглашений в соответствии с порядками предоставления субсидий, утвержденными Постановлениями Правит</w:t>
      </w:r>
      <w:r>
        <w:rPr>
          <w:rFonts w:ascii="Times New Roman" w:hAnsi="Times New Roman"/>
          <w:sz w:val="28"/>
          <w:szCs w:val="28"/>
        </w:rPr>
        <w:t xml:space="preserve">ельства Чукотского автономного округа.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 учетом остатка по состоянию на 1 января 2025 года (17 243,4 тыс. рублей), расходы учреждений в 2025 году за счет средств субсидий на иные цели составили 3 116 772,9 тыс. 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субсидии на иные цели предоставлялись учреждениям на п</w:t>
      </w:r>
      <w:r>
        <w:rPr>
          <w:rFonts w:ascii="Times New Roman" w:hAnsi="Times New Roman" w:eastAsia="Times New Roman"/>
          <w:sz w:val="28"/>
          <w:szCs w:val="28"/>
        </w:rPr>
        <w:t xml:space="preserve">роведение ремонтных работ, мероприятия в области информационных технологий,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приобретение основных средств, содержание имущества, на выплату компенсаций и пособий, из них наиболее крупные субсидии предоставлены Государственному бюджетному учреждению здравоохранения «Чукотская окружная больница»: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  <w:t xml:space="preserve">- 831 429,9 тыс. рублей – закупка авиационных работ в целях оказания медицинской помощи;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  <w:t xml:space="preserve">- 524 848,9 тыс. рублей – погашение кредиторской задолженности медицинских учреждений;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  <w:t xml:space="preserve">- 188 531,6 тыс. рублей – санитарно-авиационная помощь;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  <w:t xml:space="preserve">- 147 005,8 тыс. рублей – модернизация первичного звена здравоохранения.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Остаток субсидии на иные цели </w:t>
      </w:r>
      <w:r>
        <w:rPr>
          <w:rFonts w:ascii="Times New Roman" w:hAnsi="Times New Roman" w:cs="Times New Roman"/>
          <w:sz w:val="28"/>
          <w:szCs w:val="28"/>
        </w:rPr>
        <w:t xml:space="preserve">на счетах бюджетных и автономных учреждений по состоянию на 1 января 2026 года составил 98 996,0 тыс. рублей, из них: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- 78 680,0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здравоохранения «Чукотская окружная больница»;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- 17 870,6 тыс. рублей – Автономное учреждение Чукотского автономного округа «Управление технического обеспечения и эксплуатации имущества Чукотского автономного округа»;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- 1 925,0 тыс. рублей – Государственное автономное учреждение Чукотского автономного округа «База авиационной охраны лесов»;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- 413,6 тыс. рублей –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Чукотского автономного округа «Музейный Центр «Наследие Чукотки»;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- 106,8 тыс. рублей – Государственное автономное общеобразовательное учреждение Чукотского автономного округа «Чукотский окружной профильный лицей».</w:t>
      </w:r>
      <w:r/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 2025 году в составе расходов окружного бюджета утверждены бюджетные ассигнования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на возмещение недополученных доходов и (или) возмещение фактически понесенных затрат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иным некоммерческим организациям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 (вид расходов 631)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в сумме 130 936,3 тыс. рублей, исполнение составило 130 936,1 тыс. рублей (99,9 %)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плановых назначений: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- 108 000,0 тыс. рублей – модернизация многоквартирных домов (получатель – некоммерческая организация «Региональный оператор «Фонд капитального ремонта общего имущества в многоквартирных домах Чукотского автономного округа»);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- 17 789,0 тыс. рублей – обеспечение отдыха и оздоровление детей, проживающих в Арктической зоне Российской Федерации (получатель – Региональный Чукотский общественный фонд «Полюс надежды»);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- 2 902,7 тыс. рублей – обеспечение мероприятий, связанных с освобождением от уплаты взносов на капитальный ремонт обще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го имущества собственников помещений в многоквартирных домах Чукотского автономного округа (получатель – некоммерческая организация «Региональный оператор «Фонд капитального ремонта общего имущества в многоквартирных домах Чукотского автономного округа»);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- 1 832,6 тыс. рублей – возмещение затрат, связанных с оплатой труда граждан при организации общественных и временных работ (получатель – Государственное казенное учреждение Чукотского автономного округа «Межрайонный центр занятости населения»);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- 411,9 тыс. рублей – оплата договоров аренды производственных, нежилых площадей (гаражей) (получатель – Сельскохозяйственный перерабатывающий снабженческо-сбытовой потребительский кооператив «Чукотка»).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Некоммерческим организациям предоставлено 36 видов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субсидий (грантов в форме субсидий), не подлежащих казначейскому сопровождению (вид расходов 633)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сумме 1 771 047,9 тыс. рублей или 99,6 % показателей, установленных сводной бюджетной росписью (1 778 683,2 тыс. рублей).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объем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предоставленных субсидий некоммерчес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ким организациям направлен на реализацию мероприятий в рамках разделов бюджетной классификации расходов «Национальная экономика» (1 356 080,3 тыс. рублей или 76,6 % общего объема предоставленных субсидий) и «Образование» (178 709,3 тыс. рублей или 10,1 %).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Наибольшую долю в структуре вышеуказанных субсидий составили: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- 28,7 % или 507 451,8 тыс. рублей – развитие морского зверобойного промысла (получатели – территориально-соседские общины коренных малочисленных народов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Дауркин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», 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Анкальыт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», 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Нунлигран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», 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Сиреники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», «Чаплино», 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Энмелен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», 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Янракыннот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», 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Лорино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</w:t>
      </w:r>
      <w:bookmarkEnd w:id="0"/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 xml:space="preserve">- 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 xml:space="preserve">12,4 % или 220 227,1 тыс. рублей – имущественный взнос в целях финансового обеспечения затрат по осуществлению уставной деятельности некоммерческой организации «Фонд развития туризма, международных и межрегиональных проектов Чукотского автономного округа»;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- 10,7 % или 189 473,7 тыс. рублей – создание производственных баз, административно-бытовых комплексов (получатель – Сельскохозяйственный перерабатывающий снабженческо-сбытовой потребительский кооператив «Чукотка»);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- 9,9 % или 175 624,1 тыс. рублей – производство и переработка продукции северного оленеводства (получатели – Сельскохозяйственный потребительский снабженческо-сбытовой перерабатывающий кооператив «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Орбат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» 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Сельскохозяйственный перерабатывающий снабженческо-сбытовой потребительский кооператив «Чукотка»).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  <w:t xml:space="preserve">Иные бюджетные ассигнования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  <w:br/>
        <w:t xml:space="preserve">(вид расходов 800)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По виду расходов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800 «Иные бюджетные ассигнования»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исполнение составило 26 249 10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7,0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тыс. рублей или 99,7 % плановых назначений (26 315 619,1 тыс. рублей) (таблица № 14).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/>
          <w:bCs/>
          <w:sz w:val="28"/>
          <w:szCs w:val="28"/>
        </w:rPr>
        <w:outlineLvl w:val="0"/>
      </w:pPr>
      <w:r>
        <w:rPr>
          <w:rFonts w:ascii="Times New Roman" w:hAnsi="Times New Roman"/>
          <w:bCs/>
          <w:sz w:val="28"/>
          <w:szCs w:val="28"/>
        </w:rPr>
        <w:t xml:space="preserve">Таблица № 14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(тыс. рублей)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tbl>
      <w:tblPr>
        <w:tblW w:w="5155" w:type="pct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107"/>
        <w:gridCol w:w="1416"/>
        <w:gridCol w:w="1382"/>
        <w:gridCol w:w="1353"/>
        <w:gridCol w:w="1376"/>
      </w:tblGrid>
      <w:tr>
        <w:tblPrEx/>
        <w:trPr>
          <w:jc w:val="right"/>
          <w:trHeight w:val="572"/>
          <w:tblHeader/>
        </w:trPr>
        <w:tc>
          <w:tcPr>
            <w:shd w:val="clear" w:color="ffffff" w:fill="ffffff"/>
            <w:tcW w:w="213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показателя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(вид расходов)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 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7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0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Отклонение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(гр.3-гр.2)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  <w:tblHeader/>
        </w:trPr>
        <w:tc>
          <w:tcPr>
            <w:shd w:val="clear" w:color="ffffff" w:fill="ffffff"/>
            <w:tcW w:w="213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7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0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800 Иные бюджетные ассигнования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26 315 619,1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26 249 107,0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-66 512,1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99,7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811 Субсидии на возмещение недополученных доходов и (или) возмещение фактически понесенных затрат в связи с производством (реализацией) товаров, выполнением работ, оказанием услуг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15 556 252,5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15 545 609,2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-10 643,3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812 Субсидии (гранты в форме субсидий) на финансовое обеспечение затрат в связи с производством (реализацией товаров), выполнением работ, оказанием услуг, подлежащие казначейскому сопровождению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73 973,4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73 973,4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813 Субсидии (гранты в форме субсидий) на финансовое обеспечение затрат в связи с производством (реализацией) товаров, выполнением работ, оказанием услуг, не подлежащие казначейскому сопровождению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10 136 103,5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10 136 101,8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815 Субсидии юридическим лицам на осуществление капитальных вложений в объекты недвижимого имущества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831 Исполнение судебных актов Российской Федерации и мировых соглашений по возмещению причиненного вреда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74 589,1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74 588,9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-0,2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851 Уплата налога на имущество организаций и земельного налога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384 875,7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384 847,9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-27,8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852 Уплата прочих налогов, сборов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975,6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886,1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-89,5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90,8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853 Уплата иных платежей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2 734,9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2 599,7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-135,2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95,1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862 Взносы в международные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2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870 Резервные средства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55 614,4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-55 614,4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Предоставление субсидий юридическим лицам (за исключением субсидий государственным (муниципальным) учреждениям), индивидуал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ьным предпринимателям, физическим лицам – производителям товаров, работ, услуг, в целях возмещения недополученных доходов и (или) финансового обеспечения (возмещения) затрат, в связи с производством (реализацией) товаров, выполнением работ, оказанием услуг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из бюджета субъекта регламентируется статьей 78 Бюджетного кодекса и порядками предоставления указанных субсидий, утвержденными постановлениями Правительства Чукотского автономного округа.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right="-142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 проверяемом периоде в целях возмещения недополученных доходов и возмещения фактически понесенных затрат в связи с производством (реализацией) товаров, выполнением работ, оказанием услуг предоставлено четыре субсидии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(вид расходов 811)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и в целях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финансового обеспечения затрат в связи с производством (реализацией) товаров, выполнением работ, оказанием услуг, не подлежащие казначейскому сопровождению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ид расходов 813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), предоставлены субсидии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 сумме 25 681 711,0 тыс. рублей или 99,9 % утвержденных назначений (таблица № 15).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Таблица № 15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ind w:right="-142"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tbl>
      <w:tblPr>
        <w:tblW w:w="5159" w:type="pct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050"/>
        <w:gridCol w:w="1375"/>
        <w:gridCol w:w="1375"/>
        <w:gridCol w:w="1377"/>
        <w:gridCol w:w="1464"/>
      </w:tblGrid>
      <w:tr>
        <w:tblPrEx/>
        <w:trPr>
          <w:jc w:val="right"/>
          <w:trHeight w:val="572"/>
          <w:tblHeader/>
        </w:trPr>
        <w:tc>
          <w:tcPr>
            <w:shd w:val="clear" w:color="ffffff" w:fill="ffffff"/>
            <w:tcW w:w="210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показателя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(вид расходов)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 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исполнения, %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Количество субсидий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  <w:tblHeader/>
        </w:trPr>
        <w:tc>
          <w:tcPr>
            <w:shd w:val="clear" w:color="ffffff" w:fill="ffffff"/>
            <w:tcW w:w="210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Иные бюджетные ассигнования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(811 и 813) – 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25 692 356,0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25 681 711,0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строительства и жилищно-коммунального хозяйства Чукотского автономного округа (901)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19 877 944,5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19 875 617,6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промышленной политики Чукотского автономного округа (902)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2 044 505,8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2 042 915,1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социальной политики Чукотского автономного округа (903)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50 897,7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50 897,5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экономики и инвестиций Чукотского автономного округа (904)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121 377,7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117 065,5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96,4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сельского хозяйства и продовольствия Чукотского автономного округа (906)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2 544 403,6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2 544 401,5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цифрового развития Чукотского автономного округа (907)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65 220,9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65 220,9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здравоохранения Чукотского автономного округа (909)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457 522,3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457 521,8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физической культуры и спорта Чукотского автономного округа (914)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54 455,6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54 455,6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природных ресурсов и экологии Чукотского автономного округа (916)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351 011,2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351 010,8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right"/>
          <w:trHeight w:val="20"/>
        </w:trPr>
        <w:tc>
          <w:tcPr>
            <w:shd w:val="clear" w:color="ffffff" w:fill="ffffff"/>
            <w:tcW w:w="2100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культуры и туризма Чукотского автономного округа (917)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125 016,7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122 604,7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14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75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Наибольший объем указанных расходов приходится на расходы Департамента строительства и жилищно-коммунального хозяйства Чукотско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го автономного округа (19 875 617,6 тыс. рублей), Департамента сельского хозяйства и продовольствия Чукотского автономного округа (2 544 401,5 тыс. рублей) и Департамента промышленной политики Чукотского автономного округа (2 042 915,1 тыс. рублей) из них: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right="-142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- 9 083 570,6 тыс. рублей – возмещение ресурсоснабжающим организациям недополученных доходов, связанных с предоставлением населению коммунальных услуг (ресурсов) по тарифам, не обеспечивающим возмещение издержек;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right="-142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- 5 443 880,5 тыс. рублей – финансовое обеспечение затрат в целях бесперебойного оказания услуг потребителям по электро-, тепло-, водоснабжению;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right="-142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1 743 781,6 тыс. рублей – производство и переработка продукции северного оленеводства;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- 1 023 414,3 тыс. рублей – возмещение недополученных доходов авиационным перевозчикам, возникающим в связи с выполнением пассажирских перевозок на местных авиационных линиях;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right="-142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- 1 003 000,0 тыс. рублей – эксплуатация объектов энергетики.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4.</w:t>
      </w: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 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Исполнение окружного бюджета в части р</w:t>
      </w:r>
      <w:r>
        <w:rPr>
          <w:rFonts w:ascii="Times New Roman" w:hAnsi="Times New Roman" w:cs="Times New Roman"/>
          <w:b/>
          <w:sz w:val="28"/>
          <w:szCs w:val="28"/>
        </w:rPr>
        <w:t xml:space="preserve">еализаци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программных и непрограммных направлений деятельности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Объемы бюджетных ассигнований на программные и непрограммные расходы и их доля в общих расходах окружного бюджета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приведены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 таблице №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Cs/>
          <w:i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 № 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16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tbl>
      <w:tblPr>
        <w:tblW w:w="102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5"/>
        <w:gridCol w:w="1559"/>
        <w:gridCol w:w="1417"/>
        <w:gridCol w:w="1559"/>
        <w:gridCol w:w="1843"/>
        <w:gridCol w:w="1417"/>
      </w:tblGrid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br/>
              <w:t xml:space="preserve">показателя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Утверждено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Отклонение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(гр.3-гр.2)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Структура,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Расходы бюджета - 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69 382 771,1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68 482 811,4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-899 959,7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Программные мероприятия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65 553 111,0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64 719 412,0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-833 699,0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94,5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Непрограммные мероприятия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3 829 660,1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3 763 399,4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-66 260,7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98,3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2025 году расходы окружного бюджета, направленные на финансирование государственных программ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9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составили 94,5 % общего объема расходов.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trike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Исполнение окружного бюджета в части реализации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государственных программ Чукотского автономного округа </w:t>
      </w:r>
      <w:r>
        <w:rPr>
          <w:rFonts w:ascii="Times New Roman" w:hAnsi="Times New Roman" w:eastAsia="Times New Roman" w:cs="Times New Roman"/>
          <w:b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b/>
          <w:strike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Закон об окружном бюджете в соответствии с Бюджетным кодексом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сформирован в программной структуре расходов на основе 20 государственных программ Чукотского автономного округа</w:t>
      </w:r>
      <w:r>
        <w:rPr>
          <w:rFonts w:ascii="Times New Roman" w:hAnsi="Times New Roman" w:eastAsia="Times New Roman" w:cs="Times New Roman"/>
          <w:bCs/>
          <w:sz w:val="28"/>
          <w:szCs w:val="28"/>
          <w:vertAlign w:val="superscript"/>
        </w:rPr>
        <w:footnoteReference w:id="92"/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первоначальной редакции Закона об окружном бюджете предусмотрены бюджетные ассигнования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 реализацию Государственных программ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сумме 57 535 463,7 тыс.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рублей или 94,4 %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общего объема бюджетных ассигнований. Объем расходов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 реализацию мероприятий Государственных программ в 2025 году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увеличен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 8 139 963,7 тыс. рублей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на 14,1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%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бюджетных ассигнований.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Наибольшее увеличение объема финансового обеспечения в сумме 3 284 725,8 тыс. рублей отмечено по Государственной программе «Раз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витие жилищно-коммунального хозяйства и водохозяйственного комплекса Чукотского автономного округа» (08). Максимально снижен объем финансирования по Государственной программе «Развитие энергетики Чукотского автономного округа» (19) – 448 865,3 тыс. рублей.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Сводной бюджетной росписью по состоянию на 30 декабря 2025 года, бюджетные ассигнования на реализацию программных мероприятий предусмотрены в сумме 65 553 111,0 тыс.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 меньше на 122 316,4 тыс. рублей, утвержденных Законом об окружном бюджете (65 675 427,4 тыс. рублей).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Показатели исполнения мероприятий Государственных программ представлены в таблице №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iCs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Таблица № 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17</w:t>
      </w:r>
      <w:r>
        <w:rPr>
          <w:rFonts w:ascii="Times New Roman" w:hAnsi="Times New Roman" w:eastAsia="Times New Roman" w:cs="Times New Roman"/>
          <w:i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Cs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3685"/>
        <w:gridCol w:w="1276"/>
        <w:gridCol w:w="1417"/>
        <w:gridCol w:w="1560"/>
        <w:gridCol w:w="1984"/>
      </w:tblGrid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br/>
              <w:t xml:space="preserve">государственной программы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Утверждено 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Отклонение (гр.3-гр.2)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Расходы бюджета (программные) - 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en-US"/>
              </w:rPr>
              <w:t xml:space="preserve">65 553 111,0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en-US"/>
              </w:rPr>
              <w:t xml:space="preserve">64 719 412,0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en-US"/>
              </w:rPr>
              <w:t xml:space="preserve">-833 699,0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en-US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1. Развитие здравоохранения (01)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4 503 436,8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4 444 995,7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-58 441,1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2. Развитие занятости населения (02)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264 243,8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263 354,8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-889,0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3. Социальная поддержка населения (03)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4 728 361,0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4 696 369,7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-31 991,3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4. Стимулирование экономической активности населения (04)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380 692,0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371 853,5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-8 838,5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97,7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5. Развитие культуры и туризма (05)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921 072,2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908 679,6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-12 392,6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6. Развитие агропромышленного комплекса (06)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5 464 070,4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5 463 930,4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-140,0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7. Информационное общество (07)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930 591,8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929 667,3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-924,5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8. Развитие жилищно-коммунального хозяйства и водохозяйственного комплекса (08)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15 853 407,2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15 725 022,8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-128 384,4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9. Развитие образования и науки (09)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9 750 982,6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9 540 009,2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-210 973,4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97,8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10. Развитие лесного хозяйства (10)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296 137,0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295 734,7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-402,3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11. Развитие транспортной инфраструктуры (11)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5 976 782,8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5 757 810,2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-218 972,6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96,3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12. Управление региональными финансами и имуществом (12)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6 532 948,8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6 504 395,5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-28 553,3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13. Развитие жилищного строительства (14)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934 059,6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892 387,6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-41 672,0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95,5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14. Развитие физической культуры и спорта (15)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948 957,0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909 570,3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-39 386,7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95,8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15. Предупреждение чрезвычайных ситуаций природного и техногенного характера и обеспечение пожарной безопасности (16)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941 489,7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925 370,0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-16 119,7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98,3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16. Охрана окружающей среды и обеспечение рационального природопользования (18)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265 433,0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263 765,1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-1 667,9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17. Развитие энергетики (19)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5 528 221,1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5 521 756,1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-6 465,0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18. Обеспечение охраны общественного порядка и повышения безопасности дорожного движения (20)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22 320,3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22 234,1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-86,2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19. Формирование комфортной городской среды (21)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804 910,1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777 512,0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-27 398,1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96,6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20. Развитие системы обращения с отходами (23)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504 993,8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504 993,4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-0,4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Разработка, реализация и оценка эффективности государственных программ осуществляется в соответствии с</w:t>
      </w:r>
      <w:r>
        <w:rPr>
          <w:rFonts w:ascii="Calibri" w:hAnsi="Calibri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Постановлением Правительства Чукотского автономного округа от 10 сентября 2013 года № 359 «Об утверждении Порядка разработки, реализации и оценки эффективности государственных программ Чукотского автономного округа».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 реализации мероприятий 20 Государственных программ в отчетном периоде принимали участие 16 главных распорядителей средств окружного бюджета.</w:t>
      </w:r>
      <w:r>
        <w:rPr>
          <w:rFonts w:ascii="Times New Roman" w:hAnsi="Times New Roman" w:eastAsia="Times New Roman" w:cs="Times New Roman"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Cs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реализацию мероприятий Государственных программ в 2025 году из окружного бюджета направлено 64 719 412,0 тыс. рублей или 98,7 % плановых показателей.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Наибольший объем программных расходов окружного бюджета приходится на шесть Государственных программ: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- 24,3 % или 15 725 022,8 тыс. рублей – Развитие жилищно-коммунального хозяйства и водохозяйственного комплекса Чукотского автономного округа (08);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- 14,7 % или 9 540 009,2 тыс. рублей – Развитие образования и науки Чукотского автономного округа (09);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- 10,1 % или 6 504 395,5 тыс. рублей – Управление региональными финансами и имуществом Чукотского автономного округа (12);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- 8,9 % или 5 757 810,2 тыс. рублей – Развитие транспортной инфраструктуры Чукотского автономного округа (11);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- 8,5 % или 5 521 756,1 тыс. рублей – Развитие энергетики Чукотского автономного округа (19);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- 8,4 % или 5 463 930,4 тыс. рублей – Развитие агропромышленного комплекса Чукотского автономного округа (06).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Доля в общем объеме программных расходов остальных Государственных программ составля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менее 25 %.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Мероприятия всех Государственных программ профинансированы на высоком уровне (более 90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%). В полном объеме профинансированы Государственные программы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Развитие агропромышленного комплекса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Calibri" w:cs="Times New Roman"/>
          <w:sz w:val="28"/>
          <w:szCs w:val="28"/>
        </w:rPr>
        <w:t xml:space="preserve"> (06)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«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Развитие системы обращения с отходами в Чукотском автономном округе</w:t>
      </w:r>
      <w:r>
        <w:rPr>
          <w:rFonts w:ascii="Times New Roman" w:hAnsi="Times New Roman" w:eastAsia="Calibri" w:cs="Times New Roman"/>
          <w:sz w:val="28"/>
          <w:szCs w:val="28"/>
        </w:rPr>
        <w:t xml:space="preserve">»</w:t>
      </w:r>
      <w:r>
        <w:rPr>
          <w:rFonts w:ascii="Times New Roman" w:hAnsi="Times New Roman" w:eastAsia="Calibri" w:cs="Times New Roman"/>
          <w:sz w:val="28"/>
          <w:szCs w:val="28"/>
        </w:rPr>
        <w:t xml:space="preserve"> (23).</w:t>
      </w:r>
      <w:r>
        <w:rPr>
          <w:rFonts w:ascii="Times New Roman" w:hAnsi="Times New Roman" w:eastAsia="Calibri" w:cs="Times New Roman"/>
          <w:sz w:val="28"/>
          <w:szCs w:val="28"/>
          <w:highlight w:val="yellow"/>
        </w:rPr>
      </w:r>
      <w:r>
        <w:rPr>
          <w:rFonts w:ascii="Times New Roman" w:hAnsi="Times New Roman" w:eastAsia="Calibri" w:cs="Times New Roman"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анализа государственных программ Чукотского автономного округа установлено, что ответственные исполнители государственных программ округа: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не привели в соответствие национальным целям развития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на период до 2030 года и на перспективу до 2036 года, утвержденным Указом Президента Российской Федерации от 7 мая 2024 года № 309, стратегические приоритеты и цели государственной политики в сфере реализации десяти государственных программ округа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93"/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,Bold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нарушили сроки, установленные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статьей 179 Бюджетного кодекса Российской Федерации, при приведении </w:t>
      </w:r>
      <w:r>
        <w:rPr>
          <w:rFonts w:ascii="Times New Roman" w:hAnsi="Times New Roman" w:eastAsia="Times New Roman,Bold" w:cs="Times New Roman"/>
          <w:bCs/>
          <w:sz w:val="28"/>
          <w:szCs w:val="28"/>
        </w:rPr>
        <w:t xml:space="preserve">государственных программ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 округа в соответствие закону об окружном бюджете на очередной финансовый год и на плановый период (14 случаев нарушения сроков</w:t>
      </w:r>
      <w:r>
        <w:rPr>
          <w:rStyle w:val="4381"/>
          <w:rFonts w:ascii="Times New Roman" w:hAnsi="Times New Roman" w:eastAsia="Times New Roman,Bold" w:cs="Times New Roman"/>
          <w:sz w:val="28"/>
          <w:szCs w:val="28"/>
        </w:rPr>
        <w:footnoteReference w:id="94"/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,Bold" w:cs="Times New Roman"/>
          <w:sz w:val="28"/>
          <w:szCs w:val="28"/>
        </w:rPr>
      </w:r>
      <w:r>
        <w:rPr>
          <w:rFonts w:ascii="Times New Roman" w:hAnsi="Times New Roman" w:eastAsia="Times New Roman,Bold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десять главных распорядителей окружного бюджета (Департамент строительства и жилищно-коммунального хозяйства Чукотского автономного округа, Департамент промышленной политики Чукотского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автономного округа, Департамент социальной политики Чукотского автономного округа, Департамент экономики и инвестиций Чукотского автономного округа, Департамент сельского хозяйства и продовольствия Чукотского автономного округа, Департамент здравоохранения</w:t>
      </w:r>
      <w:r>
        <w:rPr>
          <w:rFonts w:ascii="Calibri" w:hAnsi="Calibri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Чукотского автономного округа, Департамент природных ресурсов и экологии Чукотского автономного округа, Департамент культуры и туризма</w:t>
      </w:r>
      <w:r>
        <w:rPr>
          <w:rFonts w:ascii="Calibri" w:hAnsi="Calibri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Чукотского автономного округа, Департамент образования и науки Чукотского автономного округа,</w:t>
      </w:r>
      <w:r>
        <w:rPr>
          <w:rFonts w:ascii="Calibri" w:hAnsi="Calibri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молодежной политики Чукотского автономного округа) в ходе исполнения 12 Государственных программ принимали участие в реализации 24 региональных проектов Чукотского автономного округа (национальные проекты: «Продолжи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тельная и активная жизнь», «Технологическое обеспечение продовольственной безопасности», «Инфраструктура для жизни», «Кадры», «Туризм и гостеприимство», «Эффективная и конкурентная экономика», «Молодежь и дети», «Семья», «Беспилотные авиационные системы»).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Сводной бюджетной росписью на реализацию региональных проектов утвержден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5 818 966,4 тыс. рублей или 8,9 % общего объема средств, предусмотренных на реализацию Государственных программ на 2025 год.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реализацию региональных проектов направлено 5 734 089,2 тыс. рублей или 98,5 % утвержденных назначений.</w:t>
      </w:r>
      <w:r>
        <w:rPr>
          <w:rFonts w:ascii="Times New Roman" w:hAnsi="Times New Roman" w:eastAsia="Times New Roman" w:cs="Times New Roman"/>
          <w:strike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Анализ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реализации региональных проектов отражен в отчете Счетной палаты по результатам 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 xml:space="preserve">экспертно-аналитического мероприятия «Анализ реализации национальных проектов в Чукотском автономном округе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br/>
        <w:t xml:space="preserve">за 2025 год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».</w:t>
      </w:r>
      <w:r>
        <w:rPr>
          <w:rFonts w:ascii="Times New Roman" w:hAnsi="Times New Roman" w:eastAsia="Times New Roman" w:cs="Times New Roman"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Cs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Исполнение окружного бюджета в части реализации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непрограммных направлений деятельности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об окружном бюджете утверждено семь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непрограммных направлений деятельности. Сводной бюджетной росписью, с учетом изменений,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расходы окружного бюджета по непрограммным направлениям установлены в сумме 3 829 660,1 тыс.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рублей или 5,5 %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общего объема утвержденных бюджетных ассигнований.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сполнение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расходов окружного бюджета по непрограммным направлениям осуществлял 21 главный распорядитель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расходы составили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3 763 399,4 тыс. рублей или 98,3 % установленных показателей (3 829 660,1 тыс.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рублей)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Показатели исполнения непрограммных мероприятий представлены в таблице №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Cs/>
          <w:i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Таблица № 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18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3543"/>
        <w:gridCol w:w="1134"/>
        <w:gridCol w:w="1843"/>
        <w:gridCol w:w="1417"/>
        <w:gridCol w:w="1984"/>
      </w:tblGrid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br/>
              <w:t xml:space="preserve">показателя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Утверждено 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Отклонение (гр.3-гр.2)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Расходы бюджета (непрограммные) - всего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en-US"/>
              </w:rPr>
              <w:t xml:space="preserve">3 829 660,1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en-US"/>
              </w:rPr>
              <w:t xml:space="preserve">3 763 399,4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en-US"/>
              </w:rPr>
              <w:t xml:space="preserve">-66 260,7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en-US"/>
              </w:rPr>
              <w:t xml:space="preserve">98,3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Обеспечение деятельности отдельных государственных органов и учреждений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(80, 81, 83, 84, 85)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2 602 168,2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2 591 435,1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-10 733,1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Выполнение отдельных обязательств (82)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1 164 317,4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1 109 253,4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-55 064,0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95,3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Предоставление межбюджетных трансфертов (98)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63 174,5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62 710,9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-463,6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99,3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Наибольший объем исполнения непрограммных расходов окружного бюджета составил 30,4 % или 1 145 628,1 тыс. рублей по направлению расходов «Обеспечение деятельности отдельных государственных органов и учреждений» (81) – 99,6 %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(1 150 258,4 тыс. рублей).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4.</w:t>
      </w: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 Исполнение окружного бюджета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разрезе ведомственной структуры расходов окружного бюджета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284" w:leader="none"/>
        </w:tabs>
        <w:rPr>
          <w:rFonts w:ascii="Times New Roman" w:hAnsi="Times New Roman" w:eastAsia="Times New Roman" w:cs="Times New Roman"/>
          <w:sz w:val="28"/>
          <w:szCs w:val="20"/>
        </w:rPr>
      </w:pPr>
      <w:r>
        <w:rPr>
          <w:rFonts w:ascii="Times New Roman" w:hAnsi="Times New Roman" w:eastAsia="Times New Roman" w:cs="Times New Roman"/>
          <w:sz w:val="28"/>
          <w:szCs w:val="20"/>
        </w:rPr>
        <w:t xml:space="preserve">Ведомственной структурой расходов окружного бюджета на 202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год, бюджетные назначения предусмотрены 2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главн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ому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распорядител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средств окружного бюджета.</w:t>
      </w:r>
      <w:r>
        <w:rPr>
          <w:rFonts w:ascii="Times New Roman" w:hAnsi="Times New Roman" w:eastAsia="Times New Roman" w:cs="Times New Roman"/>
          <w:sz w:val="28"/>
          <w:szCs w:val="20"/>
        </w:rPr>
      </w:r>
      <w:r>
        <w:rPr>
          <w:rFonts w:ascii="Times New Roman" w:hAnsi="Times New Roman" w:eastAsia="Times New Roman" w:cs="Times New Roman"/>
          <w:sz w:val="28"/>
          <w:szCs w:val="20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исполнении бюджетных назначений по расходам в 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 году в разрезе ведомственной структуры представлены в таблице №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Таблица №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5122" w:type="pct"/>
        <w:jc w:val="center"/>
        <w:tblLook w:val="04A0" w:firstRow="1" w:lastRow="0" w:firstColumn="1" w:lastColumn="0" w:noHBand="0" w:noVBand="1"/>
      </w:tblPr>
      <w:tblGrid>
        <w:gridCol w:w="4106"/>
        <w:gridCol w:w="1371"/>
        <w:gridCol w:w="1371"/>
        <w:gridCol w:w="1348"/>
        <w:gridCol w:w="1376"/>
      </w:tblGrid>
      <w:tr>
        <w:tblPrEx/>
        <w:trPr>
          <w:jc w:val="center"/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главного распорядителя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бюджетных средств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 (СБР)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Отклонение (гр.3-гр.2)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 w:val="false"/>
          </w:tcPr>
          <w:p>
            <w:pPr>
              <w:ind w:right="-107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Расходы бюджета – всего 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69 382 771,1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68 482 811,4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-899 959,7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строительства </w:t>
            </w:r>
            <w:bookmarkStart w:id="0" w:name="undefine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 жилищно-коммунального хозяйства</w:t>
            </w:r>
            <w:bookmarkEnd w:id="0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(901)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24 019 204,3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23 541 103,8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-478 100,5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промышленной политики (902)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7 286 560,7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7 176 379,0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-110 181,7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социальной политики (903)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5 301 491,5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5 268 549,9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-32 941,6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экономики и инвестиций (904)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508 810,8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499 972,2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-8 838,6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финансов и имущественных отношений (905)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6 332 592,8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6 267 939,0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-64 653,8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сельского хозяйства и продовольствия (906)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4 029 010,3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4 028 870,3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-140,0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цифрового развития (907)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563 594,1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562 669,7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-924,4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здравоохранения (909)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4 487 561,1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4 467 505,6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-20 055,5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Аппарат Губернатора и Правительства (910)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2 129 288,4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2 122 064,1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-7 224,3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Счетная палата (911)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147 403,9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147 182,7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-221,2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Комитет государственного регулирования цен и тарифов (912)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67 661,2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67 515,0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-146,2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Избирательная комиссия (913)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163 074,8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162 975,9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-98,9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физической культуры и спорта (914)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763 274,5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755 220,1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-8 054,4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Дума (915)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303 683,3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302 398,1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-1 285,2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природных ресурсов и экологии (916)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1 139 100,1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1 137 029,3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-2 070,8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культуры и туризма (917)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1 137 968,9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1 132 430,9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-5 538,0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Департамент образования и науки (918)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9 562 288,9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9 440 202,0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-122 086,9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Управлени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обеспечению деятельности мировых судей и юридических консультаций, организации деятельности ЗАГС и архивов (919)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206 968,6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203 473,2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-3 495,4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Комитет по охране объектов культурного наследия (920)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43 741,5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43 716,2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-25,3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Управление молодежной политики (921)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114 899,8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105 127,9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-9 771,9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91,5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гражданской защиты и противопожарной службы (922)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1 074 591,6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1 050 486,5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-24 105,1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97,8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главных распорядителей в отчетном периоде составили </w:t>
      </w:r>
      <w:r>
        <w:rPr>
          <w:rFonts w:ascii="Times New Roman" w:hAnsi="Times New Roman" w:cs="Times New Roman"/>
          <w:sz w:val="28"/>
          <w:szCs w:val="28"/>
        </w:rPr>
        <w:t xml:space="preserve">68 482 811,4</w:t>
      </w:r>
      <w:r>
        <w:rPr>
          <w:rFonts w:ascii="Times New Roman" w:hAnsi="Times New Roman" w:cs="Times New Roman"/>
          <w:sz w:val="28"/>
          <w:szCs w:val="28"/>
        </w:rPr>
        <w:t xml:space="preserve"> тыс. рублей или </w:t>
      </w:r>
      <w:r>
        <w:rPr>
          <w:rFonts w:ascii="Times New Roman" w:hAnsi="Times New Roman" w:cs="Times New Roman"/>
          <w:sz w:val="28"/>
          <w:szCs w:val="28"/>
        </w:rPr>
        <w:t xml:space="preserve">98,7 </w:t>
      </w:r>
      <w:r>
        <w:rPr>
          <w:rFonts w:ascii="Times New Roman" w:hAnsi="Times New Roman" w:cs="Times New Roman"/>
          <w:sz w:val="28"/>
          <w:szCs w:val="28"/>
        </w:rPr>
        <w:t xml:space="preserve">% плановых назначений, утвержденных сводной бюджетной росписью.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Основную долю окружного бюджета занимают расходы трех главных распорядителей: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 строительства и жилищно-коммунального хозяйства Чукотского автономного округа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34,5 </w:t>
      </w:r>
      <w:r>
        <w:rPr>
          <w:rFonts w:ascii="Times New Roman" w:hAnsi="Times New Roman" w:cs="Times New Roman"/>
          <w:sz w:val="28"/>
          <w:szCs w:val="28"/>
        </w:rPr>
        <w:t xml:space="preserve">%)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 промышленной политики Чукотского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10,5 </w:t>
      </w:r>
      <w:r>
        <w:rPr>
          <w:rFonts w:ascii="Times New Roman" w:hAnsi="Times New Roman" w:cs="Times New Roman"/>
          <w:sz w:val="28"/>
          <w:szCs w:val="28"/>
        </w:rPr>
        <w:t xml:space="preserve">%)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науки </w:t>
      </w:r>
      <w:r>
        <w:rPr>
          <w:rFonts w:ascii="Times New Roman" w:hAnsi="Times New Roman" w:cs="Times New Roman"/>
          <w:sz w:val="28"/>
          <w:szCs w:val="28"/>
        </w:rPr>
        <w:t xml:space="preserve">Чукотского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3,8 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%). </w:t>
      </w:r>
      <w:r>
        <w:rPr>
          <w:rFonts w:ascii="Times New Roman" w:hAnsi="Times New Roman" w:cs="Times New Roman"/>
          <w:sz w:val="28"/>
          <w:szCs w:val="28"/>
        </w:rPr>
        <w:t xml:space="preserve">Удельный вес в общем объеме расходов окружного бюджета остальных главных распорядителей составляет менее 10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%.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264.4 Бюджетного кодекса и статьей 41 Закона о бюджетном процессе, Счетной палатой Чукотского автономного округа проведена внешняя проверка бюджетной отчетности за 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 год 2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главн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средств окружного бюджета.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составе бюджетной отчетности главных распорядителей бюджетных средств представлена отчетность распорядителей бюджетных средств (казенных учреждений), находящихся в ведомственном </w:t>
      </w:r>
      <w:r>
        <w:rPr>
          <w:rFonts w:ascii="Times New Roman" w:hAnsi="Times New Roman" w:cs="Times New Roman"/>
          <w:sz w:val="28"/>
          <w:szCs w:val="28"/>
        </w:rPr>
        <w:t xml:space="preserve">подчинении органов власти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 xml:space="preserve">отчетность бюджетных и автономных учреждений, в отношении которых главные распорядители бюджетных средств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осуществляют функции и полномочия учредителя.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Представленная годовая </w:t>
      </w:r>
      <w:r>
        <w:rPr>
          <w:rFonts w:ascii="Times New Roman" w:hAnsi="Times New Roman" w:cs="Times New Roman"/>
          <w:sz w:val="28"/>
          <w:szCs w:val="28"/>
        </w:rPr>
        <w:t xml:space="preserve">бюджетная </w:t>
      </w:r>
      <w:r>
        <w:rPr>
          <w:rFonts w:ascii="Times New Roman" w:hAnsi="Times New Roman" w:cs="Times New Roman"/>
          <w:sz w:val="28"/>
          <w:szCs w:val="28"/>
        </w:rPr>
        <w:t xml:space="preserve">отчетность соответствует требованиям действующего законодательства. Показатели форм взаимоувязаны, расхождения не установлены.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Фактов, способных оказать влияние на недостоверность информации об активах, и (или) обязательствах, и (или) о финансовом результате </w:t>
      </w:r>
      <w:r>
        <w:rPr>
          <w:rFonts w:ascii="Times New Roman" w:hAnsi="Times New Roman" w:cs="Times New Roman"/>
          <w:sz w:val="28"/>
          <w:szCs w:val="28"/>
        </w:rPr>
        <w:t xml:space="preserve">главных распорядителей средств окружного бюджета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показателях годовой бюджетной отчетности не выявлено.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бюджетной отчетности главных администраторов средств окружного бюджета за 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 год установлены отдельные нарушения бюджетного законодательства и несоблюдение </w:t>
      </w:r>
      <w:r>
        <w:rPr>
          <w:rFonts w:ascii="Times New Roman" w:hAnsi="Times New Roman"/>
          <w:sz w:val="28"/>
          <w:szCs w:val="28"/>
        </w:rPr>
        <w:t xml:space="preserve">требований к бюджетному (бухгалтерскому) учету и </w:t>
      </w:r>
      <w:r>
        <w:rPr>
          <w:rFonts w:ascii="Times New Roman" w:hAnsi="Times New Roman" w:cs="Times New Roman"/>
          <w:sz w:val="28"/>
          <w:szCs w:val="28"/>
        </w:rPr>
        <w:t xml:space="preserve">сдаче отчетности, выявлено </w:t>
      </w:r>
      <w:r>
        <w:rPr>
          <w:rFonts w:ascii="Times New Roman" w:hAnsi="Times New Roman" w:cs="Times New Roman"/>
          <w:sz w:val="28"/>
          <w:szCs w:val="28"/>
        </w:rPr>
        <w:t xml:space="preserve">57</w:t>
      </w:r>
      <w:r>
        <w:rPr>
          <w:rFonts w:ascii="Times New Roman" w:hAnsi="Times New Roman" w:cs="Times New Roman"/>
          <w:sz w:val="28"/>
          <w:szCs w:val="28"/>
        </w:rPr>
        <w:t xml:space="preserve"> процедурных нарушени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, не имеющих финансовой оценки, и </w:t>
      </w:r>
      <w:r>
        <w:rPr>
          <w:rFonts w:ascii="Times New Roman" w:hAnsi="Times New Roman" w:cs="Times New Roman"/>
          <w:sz w:val="28"/>
          <w:szCs w:val="28"/>
        </w:rPr>
        <w:t xml:space="preserve">164</w:t>
      </w:r>
      <w:r>
        <w:rPr>
          <w:rFonts w:ascii="Times New Roman" w:hAnsi="Times New Roman" w:cs="Times New Roman"/>
          <w:sz w:val="28"/>
          <w:szCs w:val="28"/>
        </w:rPr>
        <w:t xml:space="preserve"> нарушени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, финансовая оценка которых составила </w:t>
      </w:r>
      <w:r>
        <w:rPr>
          <w:rFonts w:ascii="Times New Roman" w:hAnsi="Times New Roman" w:cs="Times New Roman"/>
          <w:sz w:val="28"/>
          <w:szCs w:val="28"/>
        </w:rPr>
        <w:t xml:space="preserve">23 256,6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нарушения при исполнении бюджетов – 40 нарушений, не</w:t>
      </w:r>
      <w:r>
        <w:rPr>
          <w:rFonts w:ascii="Times New Roman" w:hAnsi="Times New Roman" w:cs="Times New Roman"/>
          <w:sz w:val="28"/>
          <w:szCs w:val="28"/>
        </w:rPr>
        <w:t xml:space="preserve"> имеющи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финансовой оценки</w:t>
      </w:r>
      <w:r>
        <w:rPr>
          <w:rFonts w:ascii="Times New Roman" w:hAnsi="Times New Roman" w:cs="Times New Roman"/>
          <w:sz w:val="28"/>
          <w:szCs w:val="28"/>
        </w:rPr>
        <w:t xml:space="preserve">, 151 </w:t>
      </w:r>
      <w:r>
        <w:rPr>
          <w:rFonts w:ascii="Times New Roman" w:hAnsi="Times New Roman" w:cs="Times New Roman"/>
          <w:sz w:val="28"/>
          <w:szCs w:val="28"/>
        </w:rPr>
        <w:t xml:space="preserve">нарушени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, финансовая оценка котор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составила </w:t>
      </w:r>
      <w:r>
        <w:rPr>
          <w:rFonts w:ascii="Times New Roman" w:hAnsi="Times New Roman" w:cs="Times New Roman"/>
          <w:sz w:val="28"/>
          <w:szCs w:val="28"/>
        </w:rPr>
        <w:t xml:space="preserve">19 570,4</w:t>
      </w:r>
      <w:r>
        <w:rPr>
          <w:rFonts w:ascii="Times New Roman" w:hAnsi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</w:t>
      </w:r>
      <w:r>
        <w:rPr>
          <w:rFonts w:ascii="Times New Roman" w:hAnsi="Times New Roman" w:cs="Times New Roman"/>
          <w:sz w:val="28"/>
          <w:szCs w:val="28"/>
        </w:rPr>
        <w:t xml:space="preserve">арушения установленных единых требований к бюджетному (бухгалтерскому) учету, в том числе бюджетной, бухгалтерской (финансовой) отчетности</w:t>
      </w:r>
      <w:r>
        <w:rPr>
          <w:rFonts w:ascii="Times New Roman" w:hAnsi="Times New Roman" w:cs="Times New Roman"/>
          <w:sz w:val="28"/>
          <w:szCs w:val="28"/>
        </w:rPr>
        <w:t xml:space="preserve"> – 6 случаев</w:t>
      </w:r>
      <w:r>
        <w:rPr>
          <w:rFonts w:ascii="Times New Roman" w:hAnsi="Times New Roman" w:cs="Times New Roman"/>
          <w:sz w:val="28"/>
          <w:szCs w:val="28"/>
        </w:rPr>
        <w:t xml:space="preserve">, не имеющих финансовой оценки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95"/>
      </w:r>
      <w:r>
        <w:rPr>
          <w:rFonts w:ascii="Times New Roman" w:hAnsi="Times New Roman" w:cs="Times New Roman"/>
          <w:sz w:val="28"/>
          <w:szCs w:val="28"/>
        </w:rPr>
        <w:t xml:space="preserve">, и </w:t>
      </w:r>
      <w:r>
        <w:rPr>
          <w:rFonts w:ascii="Times New Roman" w:hAnsi="Times New Roman" w:cs="Times New Roman"/>
          <w:sz w:val="28"/>
          <w:szCs w:val="28"/>
        </w:rPr>
        <w:t xml:space="preserve">одно</w:t>
      </w:r>
      <w:r>
        <w:rPr>
          <w:rFonts w:ascii="Times New Roman" w:hAnsi="Times New Roman" w:cs="Times New Roman"/>
          <w:sz w:val="28"/>
          <w:szCs w:val="28"/>
        </w:rPr>
        <w:t xml:space="preserve"> нарушени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, финансовая оценка котор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составила 2</w:t>
      </w:r>
      <w:r>
        <w:rPr>
          <w:rFonts w:ascii="Times New Roman" w:hAnsi="Times New Roman" w:cs="Times New Roman"/>
          <w:sz w:val="28"/>
          <w:szCs w:val="28"/>
        </w:rPr>
        <w:t xml:space="preserve">81,3</w:t>
      </w:r>
      <w:r>
        <w:rPr>
          <w:rFonts w:ascii="Times New Roman" w:hAnsi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</w:t>
      </w:r>
      <w:r>
        <w:rPr>
          <w:rFonts w:ascii="Times New Roman" w:hAnsi="Times New Roman" w:cs="Times New Roman"/>
          <w:sz w:val="28"/>
          <w:szCs w:val="28"/>
        </w:rPr>
        <w:t xml:space="preserve">арушения 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(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закупок и закупок отдельными видами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случая</w:t>
      </w:r>
      <w:r>
        <w:rPr>
          <w:rFonts w:ascii="Times New Roman" w:hAnsi="Times New Roman" w:cs="Times New Roman"/>
          <w:sz w:val="28"/>
          <w:szCs w:val="28"/>
        </w:rPr>
        <w:t xml:space="preserve">, не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имеющ</w:t>
      </w:r>
      <w:r>
        <w:rPr>
          <w:rFonts w:ascii="Times New Roman" w:hAnsi="Times New Roman" w:cs="Times New Roman"/>
          <w:sz w:val="28"/>
          <w:szCs w:val="28"/>
        </w:rPr>
        <w:t xml:space="preserve">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финансовой оценки, и 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, финансовая оценка которых составила </w:t>
      </w:r>
      <w:r>
        <w:rPr>
          <w:rFonts w:ascii="Times New Roman" w:hAnsi="Times New Roman" w:cs="Times New Roman"/>
          <w:sz w:val="28"/>
          <w:szCs w:val="28"/>
        </w:rPr>
        <w:t xml:space="preserve">3 404,9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нарушения </w:t>
      </w:r>
      <w:r>
        <w:rPr>
          <w:rFonts w:ascii="Times New Roman" w:hAnsi="Times New Roman" w:cs="Times New Roman"/>
          <w:sz w:val="28"/>
          <w:szCs w:val="28"/>
        </w:rPr>
        <w:t xml:space="preserve">при осуществлении внутреннего финансового аудита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6 единиц;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прочие нарушения – одно нарушение, не имеющее финансовой оценки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установлено </w:t>
      </w:r>
      <w:r>
        <w:rPr>
          <w:rFonts w:ascii="Times New Roman" w:hAnsi="Times New Roman" w:cs="Times New Roman"/>
          <w:sz w:val="28"/>
          <w:szCs w:val="28"/>
        </w:rPr>
        <w:t xml:space="preserve">77</w:t>
      </w:r>
      <w:r>
        <w:rPr>
          <w:rFonts w:ascii="Times New Roman" w:hAnsi="Times New Roman" w:cs="Times New Roman"/>
          <w:sz w:val="28"/>
          <w:szCs w:val="28"/>
        </w:rPr>
        <w:t xml:space="preserve"> финансовых и хозяйственных операций,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результате которых бюджетные средства израсходованы </w:t>
      </w:r>
      <w:r>
        <w:rPr>
          <w:rFonts w:ascii="Times New Roman" w:hAnsi="Times New Roman" w:eastAsia="Times New Roman"/>
          <w:spacing w:val="-4"/>
          <w:sz w:val="28"/>
          <w:szCs w:val="28"/>
        </w:rPr>
        <w:t xml:space="preserve">неэффективно, вследствие чего </w:t>
      </w:r>
      <w:r>
        <w:rPr>
          <w:rFonts w:ascii="Times New Roman" w:hAnsi="Times New Roman" w:cs="Times New Roman"/>
          <w:sz w:val="28"/>
          <w:szCs w:val="28"/>
        </w:rPr>
        <w:t xml:space="preserve">окружному бюджету причинен ущерб в сумме 1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64</w:t>
      </w:r>
      <w:r>
        <w:rPr>
          <w:rFonts w:ascii="Times New Roman" w:hAnsi="Times New Roman" w:cs="Times New Roman"/>
          <w:sz w:val="28"/>
          <w:szCs w:val="28"/>
        </w:rPr>
        <w:t xml:space="preserve">9 141,5</w:t>
      </w:r>
      <w:r>
        <w:rPr>
          <w:rFonts w:ascii="Times New Roman" w:hAnsi="Times New Roman" w:cs="Times New Roman"/>
          <w:sz w:val="28"/>
          <w:szCs w:val="28"/>
        </w:rPr>
        <w:t xml:space="preserve"> тыс. рублей,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избыточные расходы – 2 002,6 тыс. рублей (26 случаев) – </w:t>
      </w:r>
      <w:r>
        <w:rPr>
          <w:rFonts w:ascii="Times New Roman" w:hAnsi="Times New Roman" w:cs="Times New Roman"/>
          <w:sz w:val="28"/>
          <w:szCs w:val="28"/>
        </w:rPr>
        <w:t xml:space="preserve">оплата штрафных санкций, возмещение ущерба, судебных расходов, исполнительского сбора за неисполнение (ненадлежащее исполнение) обязательств, </w:t>
      </w:r>
      <w:r>
        <w:rPr>
          <w:rFonts w:ascii="Times New Roman" w:hAnsi="Times New Roman" w:cs="Times New Roman"/>
          <w:sz w:val="28"/>
          <w:szCs w:val="28"/>
        </w:rPr>
        <w:t xml:space="preserve">оплата ежегодных отпусков за неотработанный период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безрезультатные расходы </w:t>
      </w:r>
      <w:r>
        <w:rPr>
          <w:rFonts w:ascii="Times New Roman" w:hAnsi="Times New Roman" w:cs="Times New Roman"/>
          <w:sz w:val="28"/>
          <w:szCs w:val="28"/>
        </w:rPr>
        <w:t xml:space="preserve">– 1 647 138,9 тыс. рублей (51 случай) – </w:t>
      </w:r>
      <w:r>
        <w:rPr>
          <w:rFonts w:ascii="Times New Roman" w:hAnsi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строительстве пяти объектов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96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одрядчиками работы не выполнены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что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привело к расторжению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контрактов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с</w:t>
      </w:r>
      <w:r>
        <w:rPr>
          <w:rFonts w:ascii="Times New Roman" w:hAnsi="Times New Roman" w:cs="Times New Roman"/>
          <w:sz w:val="28"/>
          <w:szCs w:val="28"/>
        </w:rPr>
        <w:t xml:space="preserve">редства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авансов </w:t>
      </w:r>
      <w:r>
        <w:rPr>
          <w:rFonts w:ascii="Times New Roman" w:hAnsi="Times New Roman" w:cs="Times New Roman"/>
          <w:sz w:val="28"/>
          <w:szCs w:val="28"/>
        </w:rPr>
        <w:t xml:space="preserve">подлежат возврату в окружной бюджет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спортивно-технологическо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оборудовани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«умны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е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» спортивны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е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 площад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ки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) не установлен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о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.</w:t>
      </w:r>
      <w:r>
        <w:rPr>
          <w:rFonts w:ascii="Times New Roman" w:hAnsi="Times New Roman" w:cs="Times New Roman" w:eastAsiaTheme="minorHAnsi"/>
          <w:sz w:val="28"/>
          <w:szCs w:val="28"/>
        </w:rPr>
      </w:r>
      <w:r>
        <w:rPr>
          <w:rFonts w:ascii="Times New Roman" w:hAnsi="Times New Roman" w:cs="Times New Roman" w:eastAsiaTheme="minorHAns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контрольного мероприятия бюджетная отчетность за 2025 год четырех главных администраторов средств окружного бюджета (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Департамент сельского хозяйства и продовольствия Чукотского автономного округа, Комитет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государственного регулирования цен и тарифов Чукотского автономного округа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Департамент природных ресурсов и экологии Чукотского автономного округа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 Департамент образования и науки Чукотского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автономного округа) представлена с нарушением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срока,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установленного </w:t>
      </w:r>
      <w:r>
        <w:rPr>
          <w:rFonts w:ascii="Times New Roman" w:hAnsi="Times New Roman"/>
          <w:color w:val="000000" w:themeColor="text1"/>
          <w:sz w:val="28"/>
        </w:rPr>
        <w:t xml:space="preserve">частью 1.1 статьи 41 Закона о</w:t>
      </w:r>
      <w:r>
        <w:rPr>
          <w:rFonts w:ascii="Times New Roman" w:hAnsi="Times New Roman"/>
          <w:sz w:val="28"/>
        </w:rPr>
        <w:t xml:space="preserve"> бюджетном процессе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/>
          <w:sz w:val="28"/>
        </w:rPr>
        <w:t xml:space="preserve">не позднее 15 марта)</w:t>
      </w:r>
      <w:r>
        <w:rPr>
          <w:rFonts w:ascii="Times New Roman" w:hAnsi="Times New Roman"/>
          <w:sz w:val="28"/>
        </w:rPr>
        <w:t xml:space="preserve">, что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является </w:t>
      </w:r>
      <w:r>
        <w:rPr>
          <w:rFonts w:ascii="Times New Roman" w:hAnsi="Times New Roman"/>
          <w:sz w:val="28"/>
          <w:highlight w:val="white"/>
          <w:shd w:val="clear" w:color="auto" w:fill="fde9d9" w:themeFill="accent6" w:themeFillTint="33"/>
        </w:rPr>
        <w:t xml:space="preserve">административным </w:t>
      </w:r>
      <w:r>
        <w:rPr>
          <w:rFonts w:ascii="Times New Roman" w:hAnsi="Times New Roman"/>
          <w:sz w:val="28"/>
        </w:rPr>
        <w:t xml:space="preserve">правонарушением, ответственность за</w:t>
      </w:r>
      <w:r>
        <w:rPr>
          <w:rFonts w:ascii="Times New Roman" w:hAnsi="Times New Roman"/>
          <w:sz w:val="28"/>
        </w:rPr>
        <w:t xml:space="preserve"> </w:t>
      </w:r>
      <w:r>
        <w:rPr>
          <w:rFonts w:ascii="Times New Roman" w:hAnsi="Times New Roman"/>
          <w:sz w:val="28"/>
        </w:rPr>
        <w:t xml:space="preserve">которое предусмотрена частью 1 статьи 15.15.6 «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Нарушение требований к</w:t>
      </w:r>
      <w:r>
        <w:rPr>
          <w:rFonts w:ascii="Times New Roman" w:hAnsi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cs="Times New Roman"/>
          <w:bCs/>
          <w:sz w:val="28"/>
          <w:szCs w:val="28"/>
        </w:rPr>
        <w:t xml:space="preserve">бюджетному (бухгалтерскому) учету, в том числе к составлению, представлению бюджетной, бухгалтерской (финансовой) отчетности» </w:t>
      </w:r>
      <w:r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602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Указанные обстоятельства послужили основанием для составления 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отношении </w:t>
      </w:r>
      <w:r>
        <w:rPr>
          <w:rFonts w:eastAsia="Calibri" w:cs="Times New Roman"/>
          <w:sz w:val="28"/>
          <w:szCs w:val="28"/>
          <w:lang w:eastAsia="en-US"/>
        </w:rPr>
        <w:t xml:space="preserve">должностных лиц Департамента сельского хозяйства и</w:t>
      </w:r>
      <w:r>
        <w:rPr>
          <w:rFonts w:eastAsia="Calibri" w:cs="Times New Roman"/>
          <w:sz w:val="28"/>
          <w:szCs w:val="28"/>
          <w:lang w:eastAsia="en-US"/>
        </w:rPr>
        <w:t xml:space="preserve"> </w:t>
      </w:r>
      <w:r>
        <w:rPr>
          <w:rFonts w:eastAsia="Calibri" w:cs="Times New Roman"/>
          <w:sz w:val="28"/>
          <w:szCs w:val="28"/>
          <w:lang w:eastAsia="en-US"/>
        </w:rPr>
        <w:t xml:space="preserve">продовольствия Чукотского автономного округа, Комитета государственного регулирования цен и тарифов Чукотского автономного округа и Департамента образования и науки Чукотского автономного округа</w:t>
      </w:r>
      <w:r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 xml:space="preserve">трех </w:t>
      </w:r>
      <w:r>
        <w:rPr>
          <w:sz w:val="28"/>
          <w:szCs w:val="28"/>
        </w:rPr>
        <w:t xml:space="preserve">протокол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об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административном правонарушении, предусмотренном </w:t>
      </w:r>
      <w:hyperlink r:id="rId23" w:tooltip="https://arbitr.garant.ru/document/redirect/12125267/151561" w:history="1">
        <w:r>
          <w:rPr>
            <w:sz w:val="28"/>
            <w:szCs w:val="28"/>
          </w:rPr>
          <w:t xml:space="preserve">частью</w:t>
        </w:r>
        <w:r>
          <w:rPr>
            <w:sz w:val="28"/>
            <w:szCs w:val="28"/>
          </w:rPr>
          <w:t xml:space="preserve"> </w:t>
        </w:r>
        <w:r>
          <w:rPr>
            <w:sz w:val="28"/>
            <w:szCs w:val="28"/>
          </w:rPr>
          <w:t xml:space="preserve">1 статьи</w:t>
        </w:r>
        <w:r>
          <w:rPr>
            <w:sz w:val="28"/>
            <w:szCs w:val="28"/>
          </w:rPr>
          <w:t xml:space="preserve"> </w:t>
        </w:r>
        <w:r>
          <w:rPr>
            <w:sz w:val="28"/>
            <w:szCs w:val="28"/>
          </w:rPr>
          <w:t xml:space="preserve">15.15.6</w:t>
        </w:r>
      </w:hyperlink>
      <w:r>
        <w:rPr>
          <w:sz w:val="28"/>
          <w:szCs w:val="28"/>
        </w:rPr>
        <w:t xml:space="preserve"> Кодекса Российской Федерации об административных правонарушениях.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ротокол об административном правонарушении в отношении должностного лица Департамента природных ресурсов и экологии Чукотского автономного округа не составлен в связи с нахождением должностного лица в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отпуске, составление протокола планируется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осуществить после возвращения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должностного лица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к исполнению обязанностей.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подлеж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т возврату в окружной бюджет 3 709,0 тыс. рублей,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- 625,3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sz w:val="28"/>
          <w:szCs w:val="28"/>
        </w:rPr>
        <w:t xml:space="preserve">документально неподтвержденных работ </w:t>
      </w:r>
      <w:r>
        <w:rPr>
          <w:rFonts w:ascii="Times New Roman" w:hAnsi="Times New Roman" w:cs="Times New Roman"/>
          <w:sz w:val="28"/>
          <w:szCs w:val="28"/>
        </w:rPr>
        <w:t xml:space="preserve">(работы, выполнение которых предусматривает наличие подтверждающих документов) </w:t>
      </w:r>
      <w:r>
        <w:rPr>
          <w:rFonts w:ascii="Times New Roman" w:hAnsi="Times New Roman" w:cs="Times New Roman"/>
          <w:sz w:val="28"/>
          <w:szCs w:val="28"/>
        </w:rPr>
        <w:t xml:space="preserve">при проведении текущих ремонтных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(Департамент физической культуры и спорта Чукотского автономного округа – 299,4 тыс. рублей и Департамент образования и науки Чукотского автономного округа – 325,9 тыс. рублей);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- 322,6 тыс. рублей – излишне уплаченные налоги и страховые взносы (Департамент природных ресурсов и экологии Чукотского автономного округа – 120,1 тыс. рублей 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Управление молодежной политики Чукотского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– 202,5 тыс. рублей);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- 2 761,1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работ по завышенной стоимости (неправомерное применение транспортной поправки) </w:t>
      </w:r>
      <w:r>
        <w:rPr>
          <w:rFonts w:ascii="Times New Roman" w:hAnsi="Times New Roman" w:cs="Times New Roman"/>
          <w:sz w:val="28"/>
          <w:szCs w:val="28"/>
        </w:rPr>
        <w:t xml:space="preserve">при проведении текущих ремонтных работ </w:t>
      </w:r>
      <w:r>
        <w:rPr>
          <w:rFonts w:ascii="Times New Roman" w:hAnsi="Times New Roman" w:cs="Times New Roman"/>
          <w:sz w:val="28"/>
          <w:szCs w:val="28"/>
        </w:rPr>
        <w:t xml:space="preserve">(Департамент образования и науки Чукотского автономного округа).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4.5. Вложения в объекты недвижимого имущества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и незавершенного строительства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о состоянию на 1 января 202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составе недвижимого имущества (незавершенного строительства) числятся 54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объекта 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(общая сметная стоимость – 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35 791 362,4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 тыс. рублей)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объем средств, направленный на финансирование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мероприятий по проектированию и строительству (реконструкции) объектов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составил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10 644 059,9 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</w:t>
      </w:r>
      <w:r>
        <w:rPr>
          <w:rFonts w:ascii="Times New Roman" w:hAnsi="Times New Roman" w:cs="Times New Roman"/>
          <w:sz w:val="28"/>
          <w:szCs w:val="28"/>
        </w:rPr>
        <w:t xml:space="preserve"> (с учетом авансирования), из них: средства федерального бюджета 7</w:t>
      </w:r>
      <w:r>
        <w:rPr>
          <w:rFonts w:ascii="Times New Roman" w:hAnsi="Times New Roman" w:cs="Times New Roman"/>
          <w:sz w:val="28"/>
          <w:szCs w:val="28"/>
        </w:rPr>
        <w:t xml:space="preserve">2,7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% или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 734 376,4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 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- 9</w:t>
      </w:r>
      <w:r>
        <w:rPr>
          <w:rFonts w:ascii="Times New Roman" w:hAnsi="Times New Roman" w:cs="Times New Roman"/>
          <w:sz w:val="28"/>
          <w:szCs w:val="28"/>
        </w:rPr>
        <w:t xml:space="preserve"> 244 840,7</w:t>
      </w:r>
      <w:r>
        <w:rPr>
          <w:rFonts w:ascii="Times New Roman" w:hAnsi="Times New Roman" w:cs="Times New Roman"/>
          <w:sz w:val="28"/>
          <w:szCs w:val="28"/>
        </w:rPr>
        <w:t xml:space="preserve"> тыс. рублей – фактически выполнено работ, принятых к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учету;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222 840,6</w:t>
      </w:r>
      <w:r>
        <w:rPr>
          <w:rFonts w:ascii="Times New Roman" w:hAnsi="Times New Roman" w:cs="Times New Roman"/>
          <w:sz w:val="28"/>
          <w:szCs w:val="28"/>
        </w:rPr>
        <w:t xml:space="preserve"> тыс. рублей </w:t>
      </w:r>
      <w:r>
        <w:rPr>
          <w:rFonts w:ascii="Times New Roman" w:hAnsi="Times New Roman" w:cs="Times New Roman"/>
          <w:sz w:val="28"/>
          <w:szCs w:val="28"/>
        </w:rPr>
        <w:t xml:space="preserve">(семь объектов) </w:t>
      </w:r>
      <w:r>
        <w:rPr>
          <w:rFonts w:ascii="Times New Roman" w:hAnsi="Times New Roman" w:cs="Times New Roman"/>
          <w:sz w:val="28"/>
          <w:szCs w:val="28"/>
        </w:rPr>
        <w:t xml:space="preserve">– авансы в рамках государственных контрактов (в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составе дебиторской задолженности)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- 1 176 378,6 тыс. рублей </w:t>
      </w:r>
      <w:r>
        <w:rPr>
          <w:rFonts w:ascii="Times New Roman" w:hAnsi="Times New Roman" w:cs="Times New Roman"/>
          <w:sz w:val="28"/>
          <w:szCs w:val="28"/>
        </w:rPr>
        <w:t xml:space="preserve">(пять объектов)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авансы в рамках расторгнутых контрактов (неотработанный аванс) (в составе дебиторской задолженности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расчеты по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ущерб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и доходам)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444"/>
        <w:ind w:firstLine="709"/>
        <w:jc w:val="both"/>
        <w:spacing w:before="0" w:beforeAutospacing="0" w:after="0" w:afterAutospacing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</w:t>
      </w:r>
      <w:r>
        <w:rPr>
          <w:color w:val="auto"/>
          <w:sz w:val="28"/>
          <w:szCs w:val="28"/>
        </w:rPr>
        <w:t xml:space="preserve">алансодержателями объектов незавершенного строительства (произведенных вложений в объекты недвижимого имущества) являются </w:t>
      </w:r>
      <w:r>
        <w:rPr>
          <w:color w:val="auto"/>
          <w:sz w:val="28"/>
          <w:szCs w:val="28"/>
        </w:rPr>
        <w:t xml:space="preserve">следующие </w:t>
      </w:r>
      <w:r>
        <w:rPr>
          <w:color w:val="auto"/>
          <w:sz w:val="28"/>
          <w:szCs w:val="28"/>
        </w:rPr>
        <w:t xml:space="preserve">учреждения: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4444"/>
        <w:ind w:firstLine="709"/>
        <w:jc w:val="both"/>
        <w:spacing w:before="0" w:beforeAutospacing="0" w:after="0" w:afterAutospacing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 </w:t>
      </w:r>
      <w:r>
        <w:rPr>
          <w:color w:val="auto"/>
          <w:sz w:val="28"/>
          <w:szCs w:val="28"/>
        </w:rPr>
        <w:t xml:space="preserve">1</w:t>
      </w:r>
      <w:r>
        <w:rPr>
          <w:color w:val="auto"/>
          <w:sz w:val="28"/>
          <w:szCs w:val="28"/>
        </w:rPr>
        <w:t xml:space="preserve"> объект – </w:t>
      </w:r>
      <w:r>
        <w:rPr>
          <w:sz w:val="28"/>
          <w:szCs w:val="28"/>
        </w:rPr>
        <w:t xml:space="preserve">Департамент гражданской защиты и противопожарной службы Чукотского автономного округа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объектов – Государственное казенное учреждение Чукотского автономного округа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Управление автомобильных дорог Чукотского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24</w:t>
      </w:r>
      <w:r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– Государственное казенное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капитального строительства Чукотского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анализа Сведений о вложениях в объекты недвижимого имущества, объектах незавершенного строительства (форма 0503190), установлено, что по состоянию на 1 января 2026 года в составе объектов незавершенного строительства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числится 19 объектов</w:t>
      </w:r>
      <w:r>
        <w:rPr>
          <w:rFonts w:ascii="Times New Roman" w:hAnsi="Times New Roman" w:cs="Times New Roman"/>
          <w:sz w:val="28"/>
          <w:szCs w:val="28"/>
        </w:rPr>
        <w:t xml:space="preserve">, мероприятия по строительству (реконструкции) которых приостанов</w:t>
      </w:r>
      <w:r>
        <w:rPr>
          <w:rFonts w:ascii="Times New Roman" w:hAnsi="Times New Roman" w:cs="Times New Roman"/>
          <w:sz w:val="28"/>
          <w:szCs w:val="28"/>
        </w:rPr>
        <w:t xml:space="preserve">лены, проектная документация не утверждена или утверждена более 5 лет назад, общий объем средств, направленный на финансирование мероприятий по проектированию и строительству (реконструкции) указанных объектов составил 3 451 359,8 тыс. рублей,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 отношении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14 объектов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строительству приостановлены (прекращены), общий объем средств, направленный на финансирование строительства (проектирования) указанных объектов составил </w:t>
      </w:r>
      <w:r>
        <w:rPr>
          <w:rFonts w:ascii="Times New Roman" w:hAnsi="Times New Roman" w:cs="Times New Roman"/>
          <w:b/>
          <w:sz w:val="28"/>
          <w:szCs w:val="28"/>
        </w:rPr>
        <w:t xml:space="preserve">3 374 207,6 тыс. рублей</w:t>
      </w:r>
      <w:r>
        <w:rPr>
          <w:rFonts w:ascii="Times New Roman" w:hAnsi="Times New Roman" w:cs="Times New Roman"/>
          <w:sz w:val="28"/>
          <w:szCs w:val="28"/>
        </w:rPr>
        <w:t xml:space="preserve">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- 2 227 155,1 тыс. рублей –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приняты к учету и оплачены работы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- 14 467,6 тыс. рублей – авансирование государственных контрактов, из них 12 110,4 тыс. рублей осуществлен возврат в окружной бюджет;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- 1 132 584,9 тыс. рублей – платежи в рамках не исполненных и расторгнутых государственных контрактов (в составе дебиторской задолженности </w:t>
      </w:r>
      <w:r>
        <w:rPr>
          <w:rFonts w:ascii="Times New Roman" w:hAnsi="Times New Roman" w:cs="Times New Roman"/>
          <w:sz w:val="28"/>
          <w:szCs w:val="28"/>
        </w:rPr>
        <w:t xml:space="preserve">– расчеты по ущербу и доходам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отношении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пяти объектов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по строительству не начинались, общий объем средств, направленный на финансирование указанных объектов, составил </w:t>
      </w:r>
      <w:r>
        <w:rPr>
          <w:rFonts w:ascii="Times New Roman" w:hAnsi="Times New Roman" w:cs="Times New Roman"/>
          <w:b/>
          <w:sz w:val="28"/>
          <w:szCs w:val="28"/>
        </w:rPr>
        <w:t xml:space="preserve">77 152,2 тыс. рублей</w:t>
      </w:r>
      <w:r>
        <w:rPr>
          <w:rFonts w:ascii="Times New Roman" w:hAnsi="Times New Roman" w:cs="Times New Roman"/>
          <w:sz w:val="28"/>
          <w:szCs w:val="28"/>
        </w:rPr>
        <w:t xml:space="preserve">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- 33 358,5 тыс. рублей –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приняты к учету и оплачены работы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- 43 793,7 тыс. рублей – платежи в рамках не исполненных и расторгнутых государственных контрактов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97"/>
      </w:r>
      <w:r>
        <w:rPr>
          <w:rFonts w:ascii="Times New Roman" w:hAnsi="Times New Roman" w:cs="Times New Roman"/>
          <w:sz w:val="28"/>
          <w:szCs w:val="28"/>
        </w:rPr>
        <w:t xml:space="preserve"> (в составе дебиторской задолженности </w:t>
      </w:r>
      <w:r>
        <w:rPr>
          <w:rFonts w:ascii="Times New Roman" w:hAnsi="Times New Roman" w:cs="Times New Roman"/>
          <w:sz w:val="28"/>
          <w:szCs w:val="28"/>
        </w:rPr>
        <w:t xml:space="preserve">– расчеты по ущербу и доходам)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/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55.35 Градостроительного кодекса Российской Федерации, Постановлением Правительства Чукотского автономного округа от 2 декабря 2022 года № 597 утвержден</w:t>
      </w:r>
      <w:r>
        <w:rPr>
          <w:rFonts w:ascii="Times New Roman" w:hAnsi="Times New Roman" w:cs="Times New Roman"/>
          <w:sz w:val="28"/>
          <w:szCs w:val="28"/>
        </w:rPr>
        <w:t xml:space="preserve"> Порядок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и ведения регионального реестра незавершенных объектов капитального строительства, составе включаемых в него сведений и порядке предоставления таких сведений </w:t>
      </w:r>
      <w:r>
        <w:rPr>
          <w:rFonts w:ascii="Times New Roman" w:hAnsi="Times New Roman" w:cs="Times New Roman"/>
          <w:sz w:val="28"/>
          <w:szCs w:val="28"/>
        </w:rPr>
        <w:t xml:space="preserve">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Порядок ведения реестра незавершенных объектов капитального строительства).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указанного выше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</w:t>
      </w:r>
      <w:r>
        <w:rPr>
          <w:rFonts w:ascii="Times New Roman" w:hAnsi="Times New Roman" w:cs="Times New Roman"/>
          <w:sz w:val="28"/>
          <w:szCs w:val="28"/>
        </w:rPr>
        <w:t xml:space="preserve">ен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промышленной политики Чукотского автономного округа.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В нарушение Порядка ведения реестра незавершенных объектов капитального строительства, Департаментом промышленной политики </w:t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Чукотского автономного округа </w:t>
      </w:r>
      <w:r>
        <w:rPr>
          <w:rFonts w:ascii="Times New Roman" w:hAnsi="Times New Roman" w:cs="Times New Roman"/>
          <w:sz w:val="28"/>
          <w:szCs w:val="28"/>
        </w:rPr>
        <w:t xml:space="preserve">не обеспечено следующее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формирование и ведение реестра незавершенных объектов капитального строительства (пункт 1 Порядка);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разработка и утверждение методических рекомендаци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и указаний по заполнению формы об объектах, предусмотренных приложением к Порядку ведения реестра незавершенных объектов капитального строительства (пункт 4 Порядка);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подготовка решений о включении объектов в региональный реестр незавершенных объектов капитального строительства и решений об исключении объектов из реестра (пункт 6 Порядка).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об объектах недвижимого имущества и незавершенного строительства по состоянию на 1 января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отражена в Приложении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4.6.</w:t>
      </w:r>
      <w:r>
        <w:rPr>
          <w:rFonts w:ascii="Times New Roman" w:hAnsi="Times New Roman" w:cs="Times New Roman"/>
          <w:b/>
          <w:sz w:val="28"/>
          <w:szCs w:val="28"/>
        </w:rPr>
        <w:t xml:space="preserve"> </w:t>
      </w:r>
      <w:r>
        <w:rPr>
          <w:rFonts w:ascii="Times New Roman" w:hAnsi="Times New Roman" w:cs="Times New Roman"/>
          <w:b/>
          <w:sz w:val="28"/>
          <w:szCs w:val="28"/>
        </w:rPr>
        <w:t xml:space="preserve">Дорожный фонд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Чукотского автономного округа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татьей 179.4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Бюджетного кодекса, в целях финансового обеспечения дорожной деятельности в отношении автомобиль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ных дорог общего пользования, а 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пунктов, Законом Чукотского автономного округа от 26 сентября 2011 года № 75-ОЗ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98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создан Дорожный фонд Чукотского автономного округа (далее – Дорожный фонд).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об окружном бюджете (подпункт 11 пункта 1 статьи 4) объем Дорожного фонда утвержден в сумме 3 442 783,4 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Поступления, учитываемые при формировании базового объема Дорожного фонда, в отчетном периоде составили 3 411 654,8 тыс. рублей, в том числе по источникам доходов: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акцизы на нефтепродукты – 1 030 323,1 тыс. рублей;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транспортный налог – 110 033,8 тыс. рублей;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осударственная пошлина за государственную регистрацию транспортных средств и иные юридически значимые действия, связанные с изменениями и выдачей документов на транспортные средства, регистрационных знаков, водительских удостоверений – 2 890,9 тыс. рублей;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доход от денежных взысканий (штрафов) за нарушение законодательства Российской Федерации о безопасности дорожного движения – 8 067,0 тыс. рублей;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платежи, уплачиваемые в целях возмещения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 (или) крупногабаритных грузов – 6 253,9 тыс. рублей;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межбюджетные трансферты в форме субсидий на софинансирование капитальных вложений в объекты государственной собственности – 2 254 086,1 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Направления использования средств Дорожного фонда определены Порядком формирования и использования бюджетных ассигнований Дорожного фонда, утвержденным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Постановлением Правительства Чукотского автономного округа от 28 декабря 2011 года № 568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далее – Порядок № 568)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 отражены в отчете об использовании средств Дорожного фонда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99"/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расходы Дорожного фонда составили 3 807 714,6 тыс. рублей или 97,3 % утвержденных сводной бюджетной росписью показателей (3 913 640,3 тыс. рублей).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Дорожного фонда, превышающие его доходы на 396 059,8 тыс. рублей, осуществлены за счет собственных средств окружного бюджета.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использовании средств Дорожного фонда представлена в таблице № 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Таблица № 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7"/>
        <w:gridCol w:w="1276"/>
        <w:gridCol w:w="1417"/>
        <w:gridCol w:w="1559"/>
        <w:gridCol w:w="1701"/>
      </w:tblGrid>
      <w:tr>
        <w:tblPrEx/>
        <w:trPr>
          <w:trHeight w:val="533"/>
          <w:tblHeader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br/>
              <w:t xml:space="preserve">показателя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Утверждено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ind w:right="-99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Структура, 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Доходы Дорожного фонда - 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3 442 783,4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3 411 654,8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99,1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Расходы Дорожного фонда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bottom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3 913 640,3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bottom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3 807 714,6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97,3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  <w:t xml:space="preserve">Департамент строительства и жилищно-коммунального хозяйства Чукотского автономного округа (901)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2 570,5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295,0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11,5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менее 0,1</w:t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Строительный контроль при проведении работ по строительству а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/д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 Колыма-Омсукчан-Омолон-Анадырь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2 570,5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295,0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менее 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  <w:t xml:space="preserve">Департамент промышленной политики Чукотского автономного округа (902)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3 911 069,8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3 807 419,6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97,3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Ремонт 3-х участков дорог общего пользования местного значения, а также строительство 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 улицы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Рультытегина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 городе Анадыре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101 700,0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101 699,9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функционирования государственных учреждений, осуществляющих управление в сфере дорожного хозяйства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398 000,0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343 864,4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86,4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Уплата налогов, сборов и иных платежей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377 300,6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377 152,4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Компенсация расходов на оплату стоимости переезда работникам в сфере дорожного хозяйства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25,3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менее 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Материально-техническое оснащение государственных учреждений, осуществляющих деятельность в сфере дорожного хозяйства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75 550,5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75 550,4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Субсидии юридическим лицам на частичную компенсацию затрат по уплате лизинговых платежей по договорам финансовой аренды (лизинга) техники и оборудования, закупаемого в целях обслуживания дорог регионального и местного значения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21 185,1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20 842,1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98,4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Капитальный ремонт, ремонт и содержание 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общего пользования и сооружений на них, проектно-изыскательские работы и прочие работы, резерв средств на предупредительные, аварийно-восстановительные и непредвиденные работы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611 191,8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562 168,9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92,0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Строительство 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Колыма-Омсукчан-Омолон-Анадырь на территории Чукотского автономного округа, участок Омолон - Анадырь с подъездами до Билибино, Комсомольского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Эгвекинота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1 264 016,8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1 264 016,7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33,2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Капитальный ремонт 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«Подъезд до 10 причала» от 29 км а/д «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Автоподъезд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аэропорта от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 Анадырь» в Чукотском автономном округе»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955 859,7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955 859,6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Реконструкция мостового перехода через реку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Млельын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«Билибино-Комсомольский-Певек» от 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км а/д «Билибино-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Кепервеем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до 3 км а/д «Певек-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Апапельгино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Янранай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56 978,3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56 978,3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Капитальный ремонт участков 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общего пользования «Певек-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Апапельгино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Янранай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14 779,3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14 779,3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0,4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Капитальный ремонт и благоустройство улично-дорожной сети и дворовых территорий (кварталов) в городе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Певеке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34 482,4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34 482,3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0,9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Мероприятия осуществляли Департамент строительства и жилищно-коммунального хозяйства Чукотского автономного округа и Департамент промышленной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олитики Чукотского автономного округа в рамках реализации Государственной программы «Развитие транспортной инфраструктуры Чукотского автономного округа», утвержденной Постановлением Правительства Чукотского автономного округа от 29 декабря 2023 года № 545.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4.7.</w:t>
      </w:r>
      <w:r>
        <w:rPr>
          <w:rFonts w:ascii="Times New Roman" w:hAnsi="Times New Roman" w:cs="Times New Roman"/>
          <w:b/>
          <w:sz w:val="28"/>
          <w:szCs w:val="28"/>
        </w:rPr>
        <w:t xml:space="preserve"> </w:t>
      </w:r>
      <w:r>
        <w:rPr>
          <w:rFonts w:ascii="Times New Roman" w:hAnsi="Times New Roman" w:cs="Times New Roman"/>
          <w:b/>
          <w:sz w:val="28"/>
          <w:szCs w:val="28"/>
        </w:rPr>
        <w:t xml:space="preserve">Резервный фонд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Правительства Чукотского автономного округа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Подпунктом 10 пункта 1 статьи 4 Закона об окружном бюджете утверждены бюджетные ассигнования на формирование резервного фонда Правительства Чукотского автономного округа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Резервный фонд)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 сумме 356 035,5 тыс. рублей.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Согласно статье 81 Бюджетного кодекса, бюджетные ассигнования используются по решению Правительства Чукотского автономного округа в соответствии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Положением о порядке расходования средств Резервного фонда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0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Расходы Резервного фонда планируются по подразделу 01 11 «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Резервные фонды»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и при исполнении распределяются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главным распорядителям средств окружного бюджета по направления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расходов окружного бюджета на финансовое обеспечение непредвиденных расходов (расходов, не предусмотренных в окружном бюджете на текущий финансовый год, а также в случае недостаточности бюджетных ассигнований окружного бюджета в текущем финансовом году).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Средства Резервного фонда, на основании распоряжений Правительства Чукотского автономного округа, распределены 11 главным распорядителям средств окружного бюджета в сумме 347 908,5 тыс. рублей или 97,7 % объема резервного фонда.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об использовании средств Резервного фонда в 2025 году представлена в таблице № 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 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" w:firstLine="708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4819"/>
        <w:gridCol w:w="1559"/>
        <w:gridCol w:w="1417"/>
        <w:gridCol w:w="2126"/>
      </w:tblGrid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главного распорядителя средств бюджета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Распределено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Использовано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Остаток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средств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(гр.3 - 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347 908,5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336 521,6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bottom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en-US"/>
              </w:rPr>
              <w:t xml:space="preserve">11 386,9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901 Департамент строительства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24 662,7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24 662,6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902 Департамент промышленной политики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12 148,8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12 148,4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-0,4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903 Департамент социальной политики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142 759,2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142 755,2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-4,0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904 Департамент экономики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909 Департамент здравоохранения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17 454,1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17 454,1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910 Аппарат Губернатора и Правительства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13 475,4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13 475,1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-0,3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914 Департамент физической культуры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325,0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325,0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916 Департамент природных ресурсов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726,6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726,4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-0,2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917 Департамент культуры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45 694,5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45 405,8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-288,7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918 Департамент образования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24 975,3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19 464,4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-5 510,9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922 Департамент гражданской защиты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65 186,9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59 604,6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-5 582,3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данным Отчета об использовании бюджетных ассигнований Резервного фонда, расходы исполнены в сумме 336 521,6 тыс. рублей или 96,7 % распределенного объема Резервного фонда.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Средства Резервного фонда направлены на исполнение распоряжений Правительства Чукотского автономного округа, из них: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- 140 000,0 тыс. рублей – социальная поддержка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граждан, принимающих участие в специальной военной операции и единовременная материа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льная помощь военнослужащим, лицам, проходящим службу в войсках национальной гвардии Российской Федерации, сотрудникам органов внутренних дел Российской Федерации, лицам, принимавшим на добровольной основе участие в боевых действиях, волонтерам и членам 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семей (Департамент социальной политики Чукотского автономного округа);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- 20 174,1 тыс. рублей – организация участия Чукотского автономного округа в мероприятиях «Дни субъекта Российской Федерации» в Совете Федерации (Департамент культуры и туризма Чукотского автономного округа);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- 18 315,0 тыс. рублей – оказание содействия в привлечении и отборе кандидатов для поступления на военную службу по контракту (Департамент гражданской защиты и противопожарной службы Чукотского автономного округа);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- 17 454,1 тыс. рублей – обеспечение граждан, направляемых на военную службу по контракту, комплектами аптечек и медицинскими препаратами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(Департамент здравоохранения Чукотского автономного округа);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- 10 889,2 тыс. рублей – оплата расходов по программе обучения «Герои Чукотки» (Департамент образования и науки Чукотского автономного округа);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- 10 754,1 тыс. рублей – оплата расходов, связанных с доставкой, проживанием и питанием граждан, принявших решение о прохождении военной службы по контракту.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 отчетном периоде из резервного фонда Правительства Чукотского автономного округа предоставлены межбюджетные трансферты бюджетам муниципальных образований в целях ликвидации последствий чрезвычайных ситуаций и на</w:t>
      </w:r>
      <w:r>
        <w:rPr>
          <w:rFonts w:ascii="Calibri" w:hAnsi="Calibri" w:eastAsia="Times New Roman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оказание гражданам единовременной материальной помощи в размере 26 721,8 тыс. рублей (693,0 тыс. рублей – городской округ Анадырь, 24 662,6 тыс. рублей – сельское поселение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Лорино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1 366,2 тыс. рублей –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Билибинский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муниципальный район).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5. Источники финансирования дефицита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окружного бюджета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об окружном бюджете первоначально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источники финансирования дефицита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утверждены в сумме 77 524,3 тыс. рублей, в результате внесенных изменений источники финансирования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утверждены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2 227 971,0 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юджетные назначения по источникам финансирования дефицита окружного бюджета исполнены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 размере 170 080,3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тыс. рублей.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Показатели источников внутреннего финансирования дефицита представлены в таблице № 2</w:t>
      </w:r>
      <w:r>
        <w:rPr>
          <w:rFonts w:ascii="Times New Roman" w:hAnsi="Times New Roman" w:eastAsia="Calibri" w:cs="Times New Roman"/>
          <w:sz w:val="28"/>
          <w:szCs w:val="28"/>
        </w:rPr>
        <w:t xml:space="preserve">2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Calibri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Calibri" w:cs="Times New Roman"/>
          <w:sz w:val="28"/>
          <w:szCs w:val="28"/>
        </w:rPr>
        <w:t xml:space="preserve">Таблица № 2</w:t>
      </w:r>
      <w:r>
        <w:rPr>
          <w:rFonts w:ascii="Times New Roman" w:hAnsi="Times New Roman" w:eastAsia="Calibri" w:cs="Times New Roman"/>
          <w:sz w:val="28"/>
          <w:szCs w:val="28"/>
        </w:rPr>
        <w:t xml:space="preserve">2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tbl>
      <w:tblPr>
        <w:tblW w:w="5132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1446"/>
        <w:gridCol w:w="1276"/>
        <w:gridCol w:w="1417"/>
        <w:gridCol w:w="1559"/>
        <w:gridCol w:w="1276"/>
        <w:gridCol w:w="1265"/>
      </w:tblGrid>
      <w:tr>
        <w:tblPrEx/>
        <w:trPr>
          <w:jc w:val="center"/>
          <w:trHeight w:val="25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показателя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79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04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Закон об окружном бюджете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Сводная бюджетная роспись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Отклонение от сводной бюджетной росписи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 к Закону об окружном бюджете,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 к сводной бюджетной росписи,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5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Доходы бюджета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67 225 315,1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68 312 731,1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101,6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Расходы бюджета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69 453 286,1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69 382 771,1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68 482 811,4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-899 959,7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(Дефицит «-» Профицит «+»)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-2 227 971,0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-2 157 456,0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-170 080,3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1 987 375,7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7,6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-92,1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jc w:val="center"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Источники финансирования дефицита, в том числе: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2 227 971,0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2 227 971,0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170 080,3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-2 057 890,7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7,6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-92,4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jc w:val="center"/>
          <w:trHeight w:val="1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Бюджетные кредиты (полученные)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-113 645,9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-113 645,9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-113 645,8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Бюджетные кредиты (предоставленные)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1 279 100,7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1 279 100,7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246 350,0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-1 032 750,7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Государственные ценные бумаги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140 000,0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140 000,0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140 000,0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4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Изменения остатков средств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922 516,2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922 516,2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-102 623,9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-1 025 140,1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состоянию на 1 января 2026 года задолженность по выданным из окружного бюджета кредитам составила 1 222 750,7 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 предоставленных бюджетных кредитах приведена в таблице 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 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103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843"/>
        <w:gridCol w:w="1451"/>
        <w:gridCol w:w="1635"/>
        <w:gridCol w:w="2587"/>
      </w:tblGrid>
      <w:tr>
        <w:tblPrEx/>
        <w:trPr>
          <w:trHeight w:val="72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Получатель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бюджетного кредита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Задолженность по состоянию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на 01.01.2025 г.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Погашено (списано)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Предоставлено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8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Задолженность по состоянию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на 01.01.2026 г.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57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8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8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1 469 100,7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2 204 350,0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1 958 000,0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87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1 222 750,7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8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Юридические лица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1 195 750,7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1 971 000,0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1 908 000,0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87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1 132 750,7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8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Муниципальные образования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273 350,0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5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233 350,0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50 000,0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87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90 00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Статьей 8 Закона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окружном бюджете бюджетные кредиты на частичное покрытие дефицитов местных бюджетов утверждены в сумме 50 000,0 тыс. рублей, предоставляемые в соответствии с Порядком предоставления, использования и возврата муниципальными образованиями бюджетных кредитов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бюджетных кредитах, предоставленных муниципальным образованиям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приведена в таблице № 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 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709" w:hanging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105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010"/>
        <w:gridCol w:w="1701"/>
        <w:gridCol w:w="1276"/>
        <w:gridCol w:w="1701"/>
        <w:gridCol w:w="2835"/>
      </w:tblGrid>
      <w:tr>
        <w:tblPrEx/>
        <w:trPr>
          <w:trHeight w:val="79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муниципального образования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Задолженность по состоянию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 на 01.01.2025 г.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Погашено (списано)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Предоставлено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Задолженность по состоянию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на 01.01.2026 г.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35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273 350,0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233 350,0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50 000,0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90 000,0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Городской округ Анадырь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114 000,0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74 000,0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11 500,0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51 500,0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Городской округ Эгвекинот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22 600,0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22 600,0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Провиденский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городской округ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50 800,0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50 800,0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Анадырский муниципальный район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15 000,0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15 000,0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19 454,3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19 454,3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Билибинский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муниципальный район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37 000,0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37 000,0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0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Чукотский муниципальный район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33 950,0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33 950,0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19 045,7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19 045,7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трем муниципальным образованиям округа предоставлены кредиты на частичное покрытие дефицита местного бюджета в общей сумме 50 000,0 тыс. рублей, в том числе: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- 11 500,0 тыс. рублей – городско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округ Анадырь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- 19 454,3 тыс. рублей – Анадырск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- 19 045,7 тыс. рублей – Чукотск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Задолженность муниципалитетов перед окружным бюджетом по кредитам на 1 января 2026 года составила 90 000,0 тыс. рублей.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Плата за пользование бюджетными кредитами муниципальными образованиями округа в 2025 году установлена пунктом 4 статьи 8 Закона об окружном бюджете в размере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0,1 % годовых,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доход окружного бюджета поступила плата за предоставление муниципальным образованиям бюджетных кредитов в сумме 186,8 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об окружном бюджете (статья 8) предусмотрены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бюджетные кредиты юридическим лицам: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закупк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доставк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топлива в Чукотский автономный округ в сумме 1 558 000,0 тыс. рублей;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закупк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доставк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лекарственных и медицинских изделий, специализированных продуктов лечебного питания, непродовольственных товаров народного потребления первой необходимости в Чукотский автономный округ в сумме 20 000,0 тыс. рублей;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закупк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доставк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социально значимых продовольственных товаров и непродовольственных товаров народного потребления первой необходимости в Чукотский автономный округ в сумме 350 000,0 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предоставлены бюджетные кредиты юридическим лицам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размере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1 908 000,0 тыс. рублей, в том числе: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- 1 558 000,0 тыс. рублей – закупка и доставка топлива в Чукотский автономный округ (Акционерное общество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Чукотснаб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»)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- 350 000,0 тыс. рублей – закупка и доставка социально значимых продовольственных товаров и непродовольственных товаров народного потребления первой необходимости (Общество с ограниченной ответственностью «Чукотская оптовая торговля»)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Задолженность юридических лиц перед окружным бюджетом по кредитам на 1 января 2026 года составила 1 132 750,7 тыс. рублей, в том числе: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- 627 750,7 тыс. рублей – Непубличное акционерное общество «Чукотская торговая компания»;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- 300 000,0 тыс. рублей – Общество с ограниченной ответственностью «Тепло-Лаврентия»;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- 130 000,0 тыс. рублей – Общество с ограниченной ответственностью «Тепло-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Лорино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- 75 000,0 тыс. рублей – Общество с ограниченной ответственностью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Чукотфармация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Плата за пользование бюджетными кредитами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юридическими лицами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 2025 году установлена пунктом 4 статьи 8 Закона об окружном бюджете в размере: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0,1 %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закупка и доставка топлива и социально значимых продовольственных товаров и непродовольственных товаров народного потребления первой необходимости в Чукотский автономный округ;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0,3 % – закупка и доставка лекарственных и медицинских изделий, специализированных продуктов лечебного питания, непродовольственных товаров народного потребления первой необходимости в Чукотский автономный округ.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в доход окружного бюджета поступила плата от юридических лиц за пользование бюджетными кредитами в сумме 36 068,3 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с нарушением сроков погашения кредитов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Непубличным акционерным обществом «Чукотская торговая компания»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627 750,7 тыс. рублей, Обществом с ограниченной ответственностью «Тепло-Лаврентия» в сумме 300 000,0 тыс. рублей и Обществом с ограниченной ответственностью «Тепло-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Лорино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в сумме 130 000,0 тыс. 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блей, а также в связи с неуплатой процентов за пользование бюджетными кредитами и пеней за невозврат, Департаментом финансов и имущественных отношений Чукотского автономного округа в 2025 году в Арбитражный суд Чукотского автономного округа направлены иски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взыскании задолженности по возврату указанных бюджетных кредитов, процентов и пеней.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Исковые требования о взыскании задолженности с Непубличного акционерного общества «Чукотская торговая компания», Общества с ограниченной ответственностью «Тепло-Лаврентия» и Общества с ограниченной ответственностью «Тепло-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Лорино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удовлетворены решениями Арбитражного суда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6. Государственный долг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Чукотского автономного округа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Верхний предел государственного внутреннего долга Чукотского автономного округа на 1 января 2026 года установлен Законом об окружном бюджете в сумме 8 012 262,5 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Государственный долг округа на 1 января 2025 года составлял 7 814 998,5 тыс. рублей. За 2025 год размер долга увеличился на 26 354,0 тыс. рублей и по состоянию на 1 января 2026 года составил 7 841 352,5 тыс. рублей, в том числе: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- 7 644 382,5 тыс. рублей – основной долг по кредитам, полученным из федерального бюджета для частичного покрытия дефицита окружного бюджета;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- 140 000,0 тыс. рублей – государственные ценные бумаги;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- 56 970,0 тыс. рублей – обязательства на обеспечение государственных гарантий, предоставленных Правительством Чукотского автономного округа.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об объеме и структуре госу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дарственного долга Чукотского автономного округа, а также об общем объеме доходов окружного бюджета без учета утвержденного объема безвозмездных поступлений, предназначенного для расчета предельного объема государственного долга, представлена в таблице № 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 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102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02"/>
        <w:gridCol w:w="1417"/>
        <w:gridCol w:w="1417"/>
        <w:gridCol w:w="1418"/>
        <w:gridCol w:w="992"/>
        <w:gridCol w:w="992"/>
        <w:gridCol w:w="1701"/>
      </w:tblGrid>
      <w:tr>
        <w:tblPrEx/>
        <w:trPr>
          <w:trHeight w:val="28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показателя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Структура,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63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2023 год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2024 год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2023 год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2024 год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Государственный долг округа, в том числе: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ind w:right="16"/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8 799 872,4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7 814 998,5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7 841 352,5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долг по кредитам, полученным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8 577 616,4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7 758 028,5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7 644 382,5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97,5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97,5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предоставленные гарантии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222 256,0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56 970,0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56 970,0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государственные ценные бумаги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140 000,0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1,8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Общий объем доходов без учета безвозмездных поступлений (утверждено)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23 520 276,7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29 580 922,4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39 842 286,3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итогам 2025 года основную часть государственного долга (97,5 %) занимают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бюджетные кредиты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привлеченные в окружной бюджет.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конец отчетного периода объем долговых обязательств Чукотского автономного округа по бюджетным кредитам снизился на 113 646,0 тыс. рублей и составил 7 644 382,5 тыс. рублей: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8"/>
        </w:numPr>
        <w:contextualSpacing/>
        <w:ind w:left="0" w:firstLine="426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за счет увеличения на 349 093,0 тыс. рублей – получены бюджетные кредиты от Федерального казначейства на финансовое обеспечение реализации инфраструктурных проектов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en-US"/>
        </w:rPr>
        <w:footnoteReference w:id="109"/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426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за счет уменьшения на 462 738,9 тыс. рублей, в том числе: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435 521,5 тыс. рублей – погашение кредита, полученного из федерального бюджета</w:t>
      </w:r>
      <w:r>
        <w:rPr>
          <w:rFonts w:ascii="Times New Roman" w:hAnsi="Times New Roman" w:eastAsia="Times New Roman" w:cs="Times New Roman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для частичного покрытия дефицитов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en-US"/>
        </w:rPr>
        <w:footnoteReference w:id="110"/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19 072,5 тыс. рублей – погашение кредита, полученного из федерального бюджета на финансовое обеспечение реализации инфраструктурных проектов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1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8 144,9 тыс. рублей – специальные казначейские кредиты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1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Просроченная задолженность по кредитам, полученным из федерального бюджета, отсутствует.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решению Арбитражного суда города Москвы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 отчетном периоде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осуществлен возврат задолженности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Открыт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акционерн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обществ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Зарубежнефть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1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размере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73 919,0 тыс. рублей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1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2025 году предоставлено 17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государственных гарантий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 сумму 21 310 000,0 тыс. рублей на следующие цели: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приобретение и доставка топлива (нефтепродуктов) –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20 010 000,0 тыс. рублей (Акционерное общество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Чукотснаб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»)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1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приобретение и доставка продовольственных товаров (за исключением подакцизных товаров) – 1 050 000,0 тыс. рублей, в том числе: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450 000,0 тыс. рублей – Общество с ограниченной ответственностью «Берингов Пролив»</w:t>
      </w:r>
      <w:r>
        <w:rPr>
          <w:rFonts w:ascii="Times New Roman" w:hAnsi="Times New Roman" w:eastAsia="Times New Roman" w:cs="Times New Roman"/>
          <w:bCs/>
          <w:sz w:val="28"/>
          <w:szCs w:val="28"/>
          <w:vertAlign w:val="superscript"/>
        </w:rPr>
        <w:footnoteReference w:id="116"/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500 000,0 тыс. рублей – Общество с ограниченной ответственностью «Чукотская оптовая торговля»</w:t>
      </w:r>
      <w:r>
        <w:rPr>
          <w:rFonts w:ascii="Times New Roman" w:hAnsi="Times New Roman" w:eastAsia="Times New Roman" w:cs="Times New Roman"/>
          <w:bCs/>
          <w:sz w:val="28"/>
          <w:szCs w:val="28"/>
          <w:vertAlign w:val="superscript"/>
        </w:rPr>
        <w:footnoteReference w:id="117"/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100 000,0 тыс. рублей – Общество с ограниченной ответственностью «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Новомариинский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ТПК»</w:t>
      </w:r>
      <w:r>
        <w:rPr>
          <w:rFonts w:ascii="Times New Roman" w:hAnsi="Times New Roman" w:eastAsia="Times New Roman" w:cs="Times New Roman"/>
          <w:bCs/>
          <w:sz w:val="28"/>
          <w:szCs w:val="28"/>
          <w:vertAlign w:val="superscript"/>
        </w:rPr>
        <w:footnoteReference w:id="118"/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- подготовка флота к навигации – 250 000,0 тыс. рублей (Акционерное общество «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Анадырьморпорт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»)</w:t>
      </w:r>
      <w:r>
        <w:rPr>
          <w:rFonts w:ascii="Times New Roman" w:hAnsi="Times New Roman" w:eastAsia="Times New Roman" w:cs="Times New Roman"/>
          <w:bCs/>
          <w:sz w:val="28"/>
          <w:szCs w:val="28"/>
          <w:vertAlign w:val="superscript"/>
        </w:rPr>
        <w:footnoteReference w:id="119"/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 государственных гарантиях, предоставленных Правительством Чукотского автономного округа в 2025 году,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для обеспечения исполнения обязательств по кредитам, отражена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 таблице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102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82"/>
        <w:gridCol w:w="1701"/>
        <w:gridCol w:w="1984"/>
        <w:gridCol w:w="1559"/>
        <w:gridCol w:w="1984"/>
      </w:tblGrid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заемщика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Остаток на 01.01.2025 г.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Предоставлено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Погашено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ind w:right="-111"/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Остаток на 01.01.2026 г.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vAlign w:val="center"/>
            <w:textDirection w:val="lrTb"/>
            <w:noWrap w:val="false"/>
          </w:tcPr>
          <w:p>
            <w:pPr>
              <w:ind w:right="-111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Государственные гарантии - 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56 970,0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21 310 000,0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21 310 000,0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56 970,0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АО «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Чукотснаб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20 010 000,0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20 010 000,0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ООО «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Новомариинский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ТПК»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100 000,0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100 000,0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vAlign w:val="bottom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АО «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ЧукотАвиа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56 970,0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56 970,0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vAlign w:val="bottom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ООО «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Чукотоптторг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500 000,0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500 000,0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vAlign w:val="bottom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ООО «Берингов пролив»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450 000,0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450 000,0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vAlign w:val="bottom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АО «Анадырский морской порт»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250 000,0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250 000,0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</w:tbl>
    <w:p>
      <w:pPr>
        <w:ind w:right="-2" w:firstLine="709"/>
        <w:jc w:val="both"/>
        <w:spacing w:before="0" w:beforeAutospacing="0" w:after="0" w:afterAutospacing="0" w:line="240" w:lineRule="auto"/>
        <w:tabs>
          <w:tab w:val="num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Объем государственных гарантий Чукотского автономного округа по состоянию на 1 января 2026 года составил 56 970,0 тыс. рублей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20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целях привлечения дополнительных финансовых ресурсов для реализации механизма инициативного бюджетировани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я Департаментом финансов и имущественных отношений Чукотского автономного округа, наделенным правом осуществления государственных внутренних заимствований от имени Чукотского автономного округа (статья 13 Закона об окружном бюджете), в 2025 году размещены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государственные облигационные займы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Облигации на сумму 140 000,0 тыс. рублей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размещены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Публичным акционерным обществом «Московская Биржа ММВБ-РТС»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br/>
        <w:t xml:space="preserve">30 сентября 2025 года на финансовой онлайн-платформе «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Финуслуги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eastAsia="Calibri" w:cs="Times New Roman"/>
          <w:sz w:val="28"/>
          <w:szCs w:val="28"/>
        </w:rPr>
        <w:t xml:space="preserve">(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плановая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дата погашения облигаций 30 сентября 2026 года).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Расходы окружного бюджета на обслуживание государственно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долга в 2025 году не превысили ограничения, установленные статьей 111 Бюджетного кодекса, и составили 24 018,9 тыс. рублей, из них 6 242,6 тыс. рублей – обслуживание государственного долга по государственным ценным бумагам Чукотского автономного округа.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Объем государственного долга Чукотского автономного округа по состоянию на 1 января 2026 года обоснован и подтвержден документально.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Calibri" w:cs="Times New Roman"/>
          <w:b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7. 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Дебиторская и кредиторская </w:t>
      </w:r>
      <w:r>
        <w:rPr>
          <w:rFonts w:ascii="Times New Roman" w:hAnsi="Times New Roman" w:eastAsia="Calibri" w:cs="Times New Roman"/>
          <w:b/>
          <w:sz w:val="28"/>
          <w:szCs w:val="28"/>
        </w:rPr>
        <w:br/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задолженность </w:t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ебиторская задолженность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окружного бюджета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в отчетном периоде снизилась на 15 280 612,3 тыс. рублей 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 состоянию на 1 января 202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25 428 114,9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 них 57 216,1 тыс. рублей 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долгосрочн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задолженност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1 339 200,4 тыс. рублей 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просроченн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задолженност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(5,3 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% общего объема дебиторской задолженности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окружного бюджета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Информация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дебиторской задолженности окружного бюджета представлена в таблице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103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5"/>
        <w:gridCol w:w="1843"/>
        <w:gridCol w:w="1843"/>
        <w:gridCol w:w="1417"/>
        <w:gridCol w:w="1984"/>
      </w:tblGrid>
      <w:tr>
        <w:tblPrEx/>
        <w:trPr>
          <w:trHeight w:val="507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показателя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 состоянию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на 01.01.202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г.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 состоянию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на 01.01.202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Изменения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(гр.3 - гр.2)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Структура, %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6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Дебиторская задолженность – 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 708 727,2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25 428 114,9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- 15 280 612,3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по доходам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 077 038,6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20 276 896,8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16 800 141,8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79,7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по выданным авансам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 580 686,6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3 893 163,9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312 477,3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15,3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с подотчетными лицами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4 621,4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5 482,5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861,1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менее 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по ущербу и иным доходам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41 552,4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1 232 67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1 191 121,3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27"/>
          <w:tblHeader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5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по платежам в бюджеты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4 828,2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19 898,0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15 069,8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менее 0,1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 структуре дебиторской задолженности на 1 января 202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года, как 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 начало отчетного периода, основной удельный вес занимают расчеты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по доходам 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79,7 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%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дебиторская задолженность по доходам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снизилась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16 800 141,8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или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20 276 896,8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них 33 153,7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долгосрочная задолженность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платеж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операционной аренды за весь срок пользования объектами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17 758,8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аренда имущества,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15 394,9 тыс. рублей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аренда земельных участков).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дебиторской задолженности по доходам приходится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следующие группы доходов: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поступления текущего характера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10 549 592,8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 них 1 863 962,1 тыс. рублей – с</w:t>
      </w:r>
      <w:r>
        <w:rPr>
          <w:rFonts w:ascii="Times New Roman" w:hAnsi="Times New Roman" w:cs="Times New Roman"/>
          <w:sz w:val="28"/>
          <w:szCs w:val="28"/>
        </w:rPr>
        <w:t xml:space="preserve">убсидии на развитие и приведение в нормативное состояние автомобильных дорог регионального или </w:t>
      </w:r>
      <w:r>
        <w:rPr>
          <w:rFonts w:ascii="Times New Roman" w:hAnsi="Times New Roman" w:cs="Times New Roman"/>
          <w:sz w:val="28"/>
          <w:szCs w:val="28"/>
        </w:rPr>
        <w:t xml:space="preserve">межмуниципального, местного значения, включающих искусственные дорожные сооружения</w:t>
      </w:r>
      <w:r>
        <w:rPr>
          <w:rFonts w:ascii="Times New Roman" w:hAnsi="Times New Roman" w:cs="Times New Roman"/>
          <w:sz w:val="28"/>
          <w:szCs w:val="28"/>
        </w:rPr>
        <w:t xml:space="preserve">, 1 640 176,3 тыс. рублей – с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бсидии на обеспечение закупки авиационных работ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целях оказания 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межбюджетные трансферты к</w:t>
      </w:r>
      <w:r>
        <w:rPr>
          <w:rFonts w:ascii="Times New Roman" w:hAnsi="Times New Roman" w:cs="Times New Roman"/>
          <w:b/>
          <w:sz w:val="28"/>
          <w:szCs w:val="28"/>
        </w:rPr>
        <w:t xml:space="preserve">апитального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, а также доходы от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возврата остатков межбюджетных трансфертов капитального характера, имеющих целевое назначение, прошлых лет, в том числе неиспользованных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5 580 712,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 них 2 826 849,2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убсидии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расчеты с плательщиками налогов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3 806 590,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 них 3 764 476,5 тыс. рублей – налог на прибыль.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Просроченная дебиторская задолженность по доходам в отчетном периоде увеличилась на 797,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и составила 129 045,6 тыс. рублей, из них 128 456,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– расчеты с плательщиками налогов, администрируемых Управлением Федеральной налоговой службы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Чукотскому автономному округу.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состоянию на 1 января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дебиторская задолженность по выданным авансам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увеличилась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312 477,3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и 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3 893 163,9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указанной дебиторской задолженности сложилась по следующим авансовым платежам: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приобретени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основных средств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406 137,3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из них: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153 690,8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выплата капитального гранта по концессионному соглашению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121"/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строительство комплекса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обращению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отходами в п. Угольные Копи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из них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80 000,0 тыс. рублей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кредит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финансовое обеспечение реализации инфраструктурных проектов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казначейский инфраструктурный кредит;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101 9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,1 тыс. рублей –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троительство объекта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Детский сад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пгт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Угольные Копи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2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76 003,3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строительство объекта «Спортивный зал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 селе Лаврентия»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2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b/>
          <w:sz w:val="28"/>
          <w:szCs w:val="28"/>
        </w:rPr>
        <w:t xml:space="preserve">безвозмездные перечисления текущего характера иным нефинансовым организациям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нефинансовых организаций государственного сектора) на производство – 766 827,3 тыс. рублей, из них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462 000,0 тыс. рублей –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убсидия на финансовое обеспечение затрат по эксплуатации объектов энергетики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24"/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128 429,0 тыс. рублей – </w:t>
      </w:r>
      <w:r>
        <w:rPr>
          <w:rFonts w:ascii="Times New Roman" w:hAnsi="Times New Roman" w:eastAsia="Times New Roman"/>
          <w:sz w:val="28"/>
          <w:szCs w:val="28"/>
        </w:rPr>
        <w:t xml:space="preserve">выплата капитального гранта </w:t>
      </w:r>
      <w:r>
        <w:rPr>
          <w:rFonts w:ascii="Times New Roman" w:hAnsi="Times New Roman" w:cs="Times New Roman"/>
          <w:sz w:val="28"/>
          <w:szCs w:val="28"/>
        </w:rPr>
        <w:t xml:space="preserve">по концессионному соглашению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125"/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оздание и эксплуатация спортивного комплекса в поселке городского типа Угольные Копи);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b/>
          <w:sz w:val="28"/>
          <w:szCs w:val="28"/>
        </w:rPr>
        <w:t xml:space="preserve">безвозмездные перечисления текущего характера некоммерческим организациям и физическим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– производителям товаров, работ и услуг на производство – 450 350,8 тыс. рублей, из них: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91 88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</w:t>
      </w:r>
      <w:r>
        <w:rPr>
          <w:rFonts w:ascii="Times New Roman" w:hAnsi="Times New Roman"/>
          <w:sz w:val="28"/>
          <w:szCs w:val="28"/>
        </w:rPr>
        <w:t xml:space="preserve">субсиди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в виде имущественного взноса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некоммерческой организации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Фонд развития туризма, международных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межрегиональных проектов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65 220,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– субсидия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финансовое обеспечение затрат, связанных с осуществлением деятельности в области информации и связи</w:t>
      </w:r>
      <w:r>
        <w:rPr>
          <w:rStyle w:val="4381"/>
          <w:rFonts w:ascii="Times New Roman" w:hAnsi="Times New Roman" w:cs="Times New Roman"/>
          <w:color w:val="000000"/>
          <w:sz w:val="28"/>
          <w:szCs w:val="28"/>
        </w:rPr>
        <w:footnoteReference w:id="126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51 520,5 тыс. рублей –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субсиди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финансовое обеспечение затрат, связанных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 модернизацией многоквартирных домов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некоммерческой организации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«Региональный оператор «Фонд капитального ремонта общего имущества в МКД Чукотского автономного округа»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еречисления текущего характера другим бюджетам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569 495,5 тыс. рублей, </w:t>
      </w:r>
      <w:r>
        <w:rPr>
          <w:rFonts w:ascii="Times New Roman" w:hAnsi="Times New Roman" w:cs="Times New Roman"/>
          <w:sz w:val="28"/>
          <w:szCs w:val="28"/>
        </w:rPr>
        <w:t xml:space="preserve">из них: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252 525,3 тыс. рублей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субсиди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создание комфортной городской среды в малых городах и исторических поселениях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победителях Всероссийского конкурса лучших проектов создания комфортной городской среды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Билибинский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муниципальный район – 101 010,1 тыс. рублей, городской округ Анадырь – 151 515,2 тыс. рублей);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55 056,7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убсидия на ликвидацию несанкционированных свалок в границах городов и наиболее опасных объектов накопленного экологического вреда окружающей среде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округ Анадырь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 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перечисления капитального характера другим бюджетам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1 376 966,5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тыс. рублей, из них: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444 859,6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убсидия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реконструкцию объекта инфраструктуры «Плотина на ручье Певек» в целях реализации нового инвестиционного проекта (городской округ Певек);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326 604,0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убсидия на строительство физкультурно-оздоровительного комплекса в г. Певек</w:t>
      </w:r>
      <w:r>
        <w:rPr>
          <w:rFonts w:ascii="Times New Roman" w:hAnsi="Times New Roman" w:cs="Times New Roman"/>
          <w:sz w:val="28"/>
          <w:szCs w:val="28"/>
        </w:rPr>
        <w:t xml:space="preserve"> (2020 год – 120 000,0 тыс. рублей,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2022 год – 31 451,0 тыс. рублей, 2023 год – 31 851,0 тыс. рублей, 2024 год – 31 851,0 тыс. рублей, 2025 год – 111 451,0 тыс. рублей) (городской округ Певек);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217 223,1 тыс. рублей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субсидия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модернизацию объектов инфраструктуры в рамках реализации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инвестиционного проекта (выполнение инженерных изысканий, проектирование и капитальный ремонт объекта «Автомобильная дорога Нагорный-Аэропорт с подъездом до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морпорта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капитальный ремонт высоковольтной линии электропередач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п. Беринговский «Фидер 12 «Беринговский-Аэропорт с отпайкой 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морпорта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Анадырский муниципальный район)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Анадырский муниципальный округ);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еречисления капитального характера иным нефинансовым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(за </w:t>
      </w:r>
      <w:r>
        <w:rPr>
          <w:rFonts w:ascii="Times New Roman" w:hAnsi="Times New Roman" w:cs="Times New Roman"/>
          <w:sz w:val="28"/>
          <w:szCs w:val="28"/>
        </w:rPr>
        <w:t xml:space="preserve">исключением нефинансовых организаций государственного сектора)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170 000,0 тыс. рублей,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том числе: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140 000,0 тыс. рублей – строительство объекта «Пищевой производственный комплекс» в городе Анадырь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127"/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30 000,0 тыс. рублей – строительство объекта «Птицеводческий комплекс»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городе Анадырь</w:t>
      </w:r>
      <w:r>
        <w:rPr>
          <w:rStyle w:val="4381"/>
          <w:rFonts w:ascii="Times New Roman" w:hAnsi="Times New Roman" w:cs="Times New Roman"/>
          <w:color w:val="000000"/>
          <w:sz w:val="28"/>
          <w:szCs w:val="28"/>
        </w:rPr>
        <w:footnoteReference w:id="128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Объем долгосрочной дебиторской задолженности по выданным авансам за 202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год снизился на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4 327,0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тыс. рублей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и составил 7 749,7 тыс. рублей, из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них 7 748,6 тыс. рублей 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субсидия </w:t>
      </w:r>
      <w:r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для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привлечения трудовых ресурсов из других субъектов</w:t>
      </w:r>
      <w:r>
        <w:rPr>
          <w:rFonts w:ascii="Times New Roman" w:hAnsi="Times New Roman" w:cs="Times New Roman"/>
          <w:sz w:val="28"/>
          <w:szCs w:val="28"/>
        </w:rPr>
        <w:t xml:space="preserve">, п</w:t>
      </w:r>
      <w:r>
        <w:rPr>
          <w:rFonts w:ascii="Times New Roman" w:hAnsi="Times New Roman" w:cs="Times New Roman"/>
          <w:sz w:val="28"/>
          <w:szCs w:val="28"/>
        </w:rPr>
        <w:t xml:space="preserve">о условиям соглашений меры поддержки, включая компенсации и иные выплаты, предоставляются привлеченным работникам в течение двух лет, с момента заключения трудового договора</w:t>
      </w:r>
      <w:r>
        <w:rPr>
          <w:rFonts w:ascii="Times New Roman" w:hAnsi="Times New Roman" w:cs="Times New Roman"/>
          <w:sz w:val="28"/>
          <w:szCs w:val="28"/>
        </w:rPr>
        <w:t xml:space="preserve"> (получатель – </w:t>
      </w:r>
      <w:r>
        <w:rPr>
          <w:rFonts w:ascii="Times New Roman" w:hAnsi="Times New Roman" w:eastAsia="Times New Roman"/>
          <w:sz w:val="28"/>
          <w:szCs w:val="28"/>
        </w:rPr>
        <w:t xml:space="preserve">Акционерн</w:t>
      </w:r>
      <w:r>
        <w:rPr>
          <w:rFonts w:ascii="Times New Roman" w:hAnsi="Times New Roman" w:eastAsia="Times New Roman"/>
          <w:sz w:val="28"/>
          <w:szCs w:val="28"/>
        </w:rPr>
        <w:t xml:space="preserve">ое</w:t>
      </w:r>
      <w:r>
        <w:rPr>
          <w:rFonts w:ascii="Times New Roman" w:hAnsi="Times New Roman" w:eastAsia="Times New Roman"/>
          <w:sz w:val="28"/>
          <w:szCs w:val="28"/>
        </w:rPr>
        <w:t xml:space="preserve"> общество «</w:t>
      </w:r>
      <w:r>
        <w:rPr>
          <w:rFonts w:ascii="Times New Roman" w:hAnsi="Times New Roman" w:eastAsia="Times New Roman"/>
          <w:sz w:val="28"/>
          <w:szCs w:val="28"/>
        </w:rPr>
        <w:t xml:space="preserve">ЧукотАвиа</w:t>
      </w:r>
      <w:r>
        <w:rPr>
          <w:rFonts w:ascii="Times New Roman" w:hAnsi="Times New Roman" w:eastAsia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Дебиторская задолженность подотчетны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лиц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отчетном периоде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увеличилась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861,1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и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января 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года 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5 482,5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ебиторск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задолженност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по ущербу и иным доходам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велич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илась на 1 191 121,3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составил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1 232 67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,7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том числе: просроченная задолженность – 1 210 154,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рублей, долгосрочная задолженность – 16 312,7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Дебиторская задолженность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 доходам от компенсации затрат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конец 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четно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составила 26 003,1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 них: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478,3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–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субъектов</w:t>
      </w:r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получивших поддержку предпринимательской деятельности и нарушивших условия соглашений о предоставлении субсидий (установленных обязательств), в полном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объеме отнесена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долгосрочной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задолженности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числ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тся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Департаментом экономики и 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естиций Чукотского автономного округа.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- 9 289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,2 </w:t>
      </w:r>
      <w:r>
        <w:rPr>
          <w:rFonts w:ascii="Times New Roman" w:hAnsi="Times New Roman"/>
          <w:sz w:val="28"/>
          <w:szCs w:val="28"/>
        </w:rPr>
        <w:t xml:space="preserve">тыс. рублей – задолженность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врачей, получивших </w:t>
      </w:r>
      <w:r>
        <w:rPr>
          <w:rFonts w:ascii="Times New Roman" w:hAnsi="Times New Roman"/>
          <w:sz w:val="28"/>
          <w:szCs w:val="28"/>
        </w:rPr>
        <w:t xml:space="preserve">единовременн</w:t>
      </w:r>
      <w:r>
        <w:rPr>
          <w:rFonts w:ascii="Times New Roman" w:hAnsi="Times New Roman"/>
          <w:sz w:val="28"/>
          <w:szCs w:val="28"/>
        </w:rPr>
        <w:t xml:space="preserve">ые</w:t>
      </w:r>
      <w:r>
        <w:rPr>
          <w:rFonts w:ascii="Times New Roman" w:hAnsi="Times New Roman"/>
          <w:sz w:val="28"/>
          <w:szCs w:val="28"/>
        </w:rPr>
        <w:t xml:space="preserve"> компенсационн</w:t>
      </w:r>
      <w:r>
        <w:rPr>
          <w:rFonts w:ascii="Times New Roman" w:hAnsi="Times New Roman"/>
          <w:sz w:val="28"/>
          <w:szCs w:val="28"/>
        </w:rPr>
        <w:t xml:space="preserve">ые</w:t>
      </w:r>
      <w:r>
        <w:rPr>
          <w:rFonts w:ascii="Times New Roman" w:hAnsi="Times New Roman"/>
          <w:sz w:val="28"/>
          <w:szCs w:val="28"/>
        </w:rPr>
        <w:t xml:space="preserve"> выплаты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 программе «Земский доктор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расторгнувши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трудов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полном объеме отнесена к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просроченной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задолженности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числится за Департаментом здравоохранения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дебиторской задолженности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 ущербу и иным доходам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приходится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расчеты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доходам бюджета </w:t>
      </w:r>
      <w:r>
        <w:rPr>
          <w:rFonts w:ascii="Times New Roman" w:hAnsi="Times New Roman" w:cs="Times New Roman"/>
          <w:sz w:val="28"/>
          <w:szCs w:val="28"/>
        </w:rPr>
        <w:t xml:space="preserve">от возврата дебиторской задолженности прошлых лет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1 179 576,1 тыс. рублей, из них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Департамент строительства и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 – 1 176 378,6 тыс. рублей,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- 7 948,7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задолженность Индивидуального предпринимателя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Крючкова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Е.К. по возврату аванса, полученного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работ по объекту «Приобретение и установка модульного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ФАП в с. Ламутское»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- 1 392,9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задолженность Общества с ограниченной ответственностью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Раден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по возврату аванса, полученного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работ по объекту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«Приобретение и установка модульного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ФАП в с. Чуванское»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</w:t>
      </w:r>
      <w:r>
        <w:rPr>
          <w:rFonts w:ascii="Times New Roman" w:hAnsi="Times New Roman" w:cs="Times New Roman"/>
          <w:sz w:val="28"/>
          <w:szCs w:val="28"/>
        </w:rPr>
        <w:t xml:space="preserve">а момент </w:t>
      </w:r>
      <w:r>
        <w:rPr>
          <w:rFonts w:ascii="Times New Roman" w:hAnsi="Times New Roman" w:cs="Times New Roman"/>
          <w:sz w:val="28"/>
          <w:szCs w:val="28"/>
        </w:rPr>
        <w:t xml:space="preserve">подготовки данного 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аключения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исполнительный лист направлен в службу судебных приставов по месту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должника – Пермский край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- 11 362,0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hAnsi="Times New Roman" w:cs="Times New Roman"/>
          <w:sz w:val="28"/>
          <w:szCs w:val="28"/>
        </w:rPr>
        <w:t xml:space="preserve">«Тепло Дом Урал»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возврату аванса, полученного на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работ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поставк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модульного фельдшерско-акушерского пункта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селе Чуванское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- 645 411,3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Общества с ограниченной ответственностью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«Чукотская торговая компания» по возврату аванса, полученного на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работ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 объекта «Школа </w:t>
      </w:r>
      <w:r>
        <w:rPr>
          <w:rFonts w:ascii="Times New Roman" w:hAnsi="Times New Roman" w:cs="Times New Roman"/>
          <w:sz w:val="28"/>
          <w:szCs w:val="28"/>
        </w:rPr>
        <w:t xml:space="preserve">в г. Анадырь»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- 466 470,0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Общества с ограниченной ответственностью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«Чукотская торговая компания» по возврату аванса, полученного на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работ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объекта «Центр культурного развития в г. Певек»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- 43 793,7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Общества с ограниченной ответственностью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ТехноСтрой</w:t>
      </w:r>
      <w:r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возврату аванса, полученного на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работ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объекта «Дом культуры в с. Канчалан»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Департамент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 – </w:t>
      </w:r>
      <w:r>
        <w:rPr>
          <w:rFonts w:ascii="Times New Roman" w:hAnsi="Times New Roman" w:cs="Times New Roman"/>
          <w:sz w:val="28"/>
          <w:szCs w:val="28"/>
        </w:rPr>
        <w:t xml:space="preserve">1 105,8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задолженность по оплате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стоимости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проезда к месту лечения и обратно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случай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представлен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подтверждающи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расходы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В составе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дебиторской задолженности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 ущербу и иным доходам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 состоянию на 1 января 2026 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числится 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оплате ежегодного отпуска за неотработанн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период 15 уволившихся сотрудников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размере 1 048,3 тыс. рублей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экономики и инвестиций Чукотского автономного округа – 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Департамент природных ресурсов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экологии Чукотского автономного округа – 1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Департамент образования и науки Чукотского автономного округа – 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гражданской защиты и противопожарной службы Чукотского автономного округа – </w:t>
      </w:r>
      <w:r>
        <w:rPr>
          <w:rFonts w:ascii="Times New Roman" w:hAnsi="Times New Roman" w:cs="Times New Roman"/>
          <w:sz w:val="28"/>
          <w:szCs w:val="28"/>
        </w:rPr>
        <w:t xml:space="preserve">12 случаев, из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них 9 единиц –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казенное учреждение «Управление гражданской защиты и противопожарной службы Чукотского автономного округа»).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 отметить,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состоянию на 1 января 2025 года задолженность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оплате ежегодного отпуска за неотработанн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период составляла 416,8 тыс. рублей – четыре случая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(Департамент цифрового развития Чукотского автономного округа – 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Департамент природных ресурсов и экологии Чукотского автономного округа – 2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Департамент образования и науки Чукотского автономного округа – 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Дебиторская задолженность по платежам в бюджеты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увеличилась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5 069,8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и 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19 898,0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них 19 893,2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расчет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единому налоговому платежу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(Департамент социальной политики Чукотского автономного округа – 14 642,5 тыс. рублей)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Долгосрочная задолженность и просроченная задолженность по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платежам в бюджет на конец года отсутствуют.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Кредиторская задолженность</w:t>
      </w:r>
      <w:r>
        <w:rPr>
          <w:rFonts w:ascii="Times New Roman" w:hAnsi="Times New Roman" w:cs="Times New Roman"/>
          <w:sz w:val="28"/>
          <w:szCs w:val="28"/>
        </w:rPr>
        <w:t xml:space="preserve"> за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снизилась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2 066 500,6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 составила </w:t>
      </w:r>
      <w:r>
        <w:rPr>
          <w:rFonts w:ascii="Times New Roman" w:hAnsi="Times New Roman" w:cs="Times New Roman"/>
          <w:sz w:val="28"/>
          <w:szCs w:val="28"/>
        </w:rPr>
        <w:t xml:space="preserve">267 540,2</w:t>
      </w:r>
      <w:r>
        <w:rPr>
          <w:rFonts w:ascii="Times New Roman" w:hAnsi="Times New Roman" w:cs="Times New Roman"/>
          <w:sz w:val="28"/>
          <w:szCs w:val="28"/>
        </w:rPr>
        <w:t xml:space="preserve"> тыс. рублей.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кредиторской задолженности окружного бюджета представлена в таблице №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jc w:val="right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10493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8"/>
        <w:gridCol w:w="1701"/>
        <w:gridCol w:w="1559"/>
        <w:gridCol w:w="1701"/>
        <w:gridCol w:w="1984"/>
      </w:tblGrid>
      <w:tr>
        <w:tblPrEx/>
        <w:trPr>
          <w:trHeight w:val="604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показателя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 состоянию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 на 01.01.202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г.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 состоянию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 на 01.01.202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Изменения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(гр. 3 - гр. 2)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Структура, %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Кредиторская задолженность – всего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2 33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4 040,8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267 540,2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66 500,6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х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1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по доходам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2 248 896,3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360"/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50 847,5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4386"/>
              <w:ind w:left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 xml:space="preserve">2 198 048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с подотчетными лицами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23,9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474,0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450,1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менее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0,1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по ущербу и иным доходам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83,4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42,1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- 41,3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менее 0,1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по принятым обязательствам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9 056,1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 548,7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 8 507,4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26,4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Расчеты по платежам в бюджеты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51,5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145 627,9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139 776,4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54,4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Прочие расчеты с кредиторами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129,6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 xml:space="preserve">- 129,6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Кредиторская задолженность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 доходам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снизилась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2 198 048,8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них 2 197 686,6 тыс. рублей – налог на прибыль,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связано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представлением налоговых деклараций в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году и оплатой в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году авансовых платежей по налогам, являющимися налоговыми доходами окружного бюджета, администрируемым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Управлением Федеральной налоговой службы по Чукотскому автономному округу.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Наибольшую долю кредиторской задолженности составля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задолженность по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платежам в бюджет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54,4 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145 627,9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120 560,5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расчеты, связанные с возвратами межбюджетных трансфертов прошлых лет</w:t>
      </w:r>
      <w:r>
        <w:rPr>
          <w:rFonts w:ascii="Times New Roman" w:hAnsi="Times New Roman" w:cs="Times New Roman"/>
          <w:sz w:val="28"/>
          <w:szCs w:val="28"/>
        </w:rPr>
        <w:t xml:space="preserve">, а именно, </w:t>
      </w:r>
      <w:r>
        <w:rPr>
          <w:rFonts w:ascii="Times New Roman" w:hAnsi="Times New Roman" w:cs="Times New Roman"/>
          <w:sz w:val="28"/>
          <w:szCs w:val="28"/>
        </w:rPr>
        <w:t xml:space="preserve">субсидия на ликвидацию несанкционированных свалок в границах городов и наиболее опасных объектов накопленного экологического вреда окружающей среде предоставленная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</w:t>
      </w:r>
      <w:r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проекта «Чистая страна» национального проекта «Экология»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r>
        <w:rPr>
          <w:rFonts w:ascii="Times New Roman" w:hAnsi="Times New Roman" w:cs="Times New Roman"/>
          <w:sz w:val="28"/>
          <w:szCs w:val="28"/>
        </w:rPr>
        <w:t xml:space="preserve">природных ресурсов и экологии Чукотского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бюджета (</w:t>
      </w:r>
      <w:r>
        <w:rPr>
          <w:rFonts w:ascii="Times New Roman" w:hAnsi="Times New Roman" w:cs="Times New Roman"/>
          <w:sz w:val="28"/>
          <w:szCs w:val="28"/>
        </w:rPr>
        <w:t xml:space="preserve">субсидия на ликвидацию несанкционированных свалок в границах городов и наиболее опасных объектов накопленного экологического вреда окружающей среде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предостав</w:t>
      </w:r>
      <w:r>
        <w:rPr>
          <w:rFonts w:ascii="Times New Roman" w:hAnsi="Times New Roman" w:cs="Times New Roman"/>
          <w:sz w:val="28"/>
          <w:szCs w:val="28"/>
        </w:rPr>
        <w:t xml:space="preserve">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субсиди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ликвидацию несанкционированных свалок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границах городов и наиболее опасных объектов накопленного экологического вреда окружающей среде для достижения целей, показателей и результатов регионального проекта «Чистая страна (Чукотский автономный округ)»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городскому округу Анадырь.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Анадырь заключен муниципальный контракт на рекультивацию санкционированной свалки твердых коммунальных отходов с Обществом с 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 xml:space="preserve">ЭкоСтрой</w:t>
      </w:r>
      <w:r>
        <w:rPr>
          <w:rFonts w:ascii="Times New Roman" w:hAnsi="Times New Roman" w:cs="Times New Roman"/>
          <w:sz w:val="28"/>
          <w:szCs w:val="28"/>
        </w:rPr>
        <w:t xml:space="preserve">» (</w:t>
      </w:r>
      <w:r>
        <w:rPr>
          <w:rFonts w:ascii="Times New Roman" w:hAnsi="Times New Roman" w:cs="Times New Roman"/>
          <w:sz w:val="28"/>
          <w:szCs w:val="28"/>
        </w:rPr>
        <w:t xml:space="preserve">далее – ООО «</w:t>
      </w:r>
      <w:r>
        <w:rPr>
          <w:rFonts w:ascii="Times New Roman" w:hAnsi="Times New Roman" w:cs="Times New Roman"/>
          <w:sz w:val="28"/>
          <w:szCs w:val="28"/>
        </w:rPr>
        <w:t xml:space="preserve">ЭкоСтрой</w:t>
      </w:r>
      <w:r>
        <w:rPr>
          <w:rFonts w:ascii="Times New Roman" w:hAnsi="Times New Roman" w:cs="Times New Roman"/>
          <w:sz w:val="28"/>
          <w:szCs w:val="28"/>
        </w:rPr>
        <w:t xml:space="preserve">») в сумме</w:t>
      </w:r>
      <w:r>
        <w:rPr>
          <w:rFonts w:ascii="Times New Roman" w:hAnsi="Times New Roman" w:cs="Times New Roman"/>
          <w:sz w:val="28"/>
          <w:szCs w:val="28"/>
        </w:rPr>
        <w:t xml:space="preserve"> 307 167,5 тыс. рублей, из них 180 627,5 тыс. рублей – средства федерального бюджета, 121 931,8 тыс. рублей – средства окружного бюджета со сроком выполнения работ до 31 октября 2023 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плат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указанному </w:t>
      </w:r>
      <w:r>
        <w:rPr>
          <w:rFonts w:ascii="Times New Roman" w:hAnsi="Times New Roman" w:cs="Times New Roman"/>
          <w:sz w:val="28"/>
          <w:szCs w:val="28"/>
        </w:rPr>
        <w:t xml:space="preserve">выше контракту составила 177 820,6 тыс. рублей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авансирование ООО «</w:t>
      </w:r>
      <w:r>
        <w:rPr>
          <w:rFonts w:ascii="Times New Roman" w:hAnsi="Times New Roman" w:cs="Times New Roman"/>
          <w:sz w:val="28"/>
          <w:szCs w:val="28"/>
        </w:rPr>
        <w:t xml:space="preserve">ЭкоСтрой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 5</w:t>
      </w:r>
      <w:r>
        <w:rPr>
          <w:rFonts w:ascii="Times New Roman" w:hAnsi="Times New Roman" w:cs="Times New Roman"/>
          <w:sz w:val="28"/>
          <w:szCs w:val="28"/>
        </w:rPr>
        <w:t xml:space="preserve">0 % цены контракта)</w:t>
      </w:r>
      <w:r>
        <w:rPr>
          <w:rFonts w:ascii="Times New Roman" w:hAnsi="Times New Roman" w:cs="Times New Roman"/>
          <w:sz w:val="28"/>
          <w:szCs w:val="28"/>
        </w:rPr>
        <w:t xml:space="preserve">, в том числе: </w:t>
      </w:r>
      <w:r>
        <w:rPr>
          <w:rFonts w:ascii="Times New Roman" w:hAnsi="Times New Roman" w:cs="Times New Roman"/>
          <w:sz w:val="28"/>
          <w:szCs w:val="28"/>
        </w:rPr>
        <w:t xml:space="preserve">65 501,6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 2022 году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112 319,0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2023 году.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рамках муниципального контракта п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риняты к учету работы </w:t>
      </w:r>
      <w:r>
        <w:rPr>
          <w:rFonts w:ascii="Times New Roman" w:hAnsi="Times New Roman" w:cs="Times New Roman"/>
          <w:sz w:val="28"/>
          <w:szCs w:val="28"/>
        </w:rPr>
        <w:t xml:space="preserve">в сумме </w:t>
      </w:r>
      <w:r>
        <w:rPr>
          <w:rFonts w:ascii="Times New Roman" w:hAnsi="Times New Roman" w:cs="Times New Roman"/>
          <w:sz w:val="28"/>
          <w:szCs w:val="28"/>
        </w:rPr>
        <w:t xml:space="preserve">48 473,7 тыс. рублей, из них 44 995,4 тыс. рублей – средства федерального бюджета, неотработанный аванс составил 129 346,9 тыс. рублей (из них 120 560,5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тыс. рублей – средства федерального бюджета).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нарушением ООО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ЭкоСтрой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сроков выполнения работ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дминистрацией городского округа Анадырь принято решение </w:t>
      </w:r>
      <w:r>
        <w:rPr>
          <w:rFonts w:ascii="Times New Roman" w:hAnsi="Times New Roman" w:cs="Times New Roman"/>
          <w:sz w:val="28"/>
          <w:szCs w:val="28"/>
        </w:rPr>
        <w:t xml:space="preserve">в 2024 году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одностороннем отказе от исполнения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онтракта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рекультивацию санкционированной свалки твердых коммунальных отходов.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момент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подготовки настоящего заключения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ООО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ЭкоСтрой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признано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несостоятельным (банкротом) и в отношении него открыто конкурсное производство</w:t>
      </w:r>
      <w:r>
        <w:rPr>
          <w:rStyle w:val="4381"/>
          <w:rFonts w:ascii="Times New Roman" w:hAnsi="Times New Roman" w:eastAsia="Calibri" w:cs="Times New Roman"/>
          <w:sz w:val="28"/>
          <w:szCs w:val="28"/>
        </w:rPr>
        <w:footnoteReference w:id="129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Кредиторская задолженность </w:t>
      </w:r>
      <w:r>
        <w:rPr>
          <w:rFonts w:ascii="Times New Roman" w:hAnsi="Times New Roman" w:eastAsiaTheme="minorHAnsi"/>
          <w:b/>
          <w:sz w:val="28"/>
          <w:szCs w:val="28"/>
        </w:rPr>
        <w:t xml:space="preserve">по ущербу и иным доходам</w:t>
      </w:r>
      <w:r>
        <w:rPr>
          <w:rFonts w:ascii="Times New Roman" w:hAnsi="Times New Roman" w:eastAsiaTheme="minorHAnsi"/>
          <w:sz w:val="28"/>
          <w:szCs w:val="28"/>
        </w:rPr>
        <w:t xml:space="preserve"> на конец отчетного периода состав</w:t>
      </w:r>
      <w:r>
        <w:rPr>
          <w:rFonts w:ascii="Times New Roman" w:hAnsi="Times New Roman" w:eastAsiaTheme="minorHAnsi"/>
          <w:sz w:val="28"/>
          <w:szCs w:val="28"/>
        </w:rPr>
        <w:t xml:space="preserve">ила</w:t>
      </w:r>
      <w:r>
        <w:rPr>
          <w:rFonts w:ascii="Times New Roman" w:hAnsi="Times New Roman" w:eastAsiaTheme="minorHAnsi"/>
          <w:sz w:val="28"/>
          <w:szCs w:val="28"/>
        </w:rPr>
        <w:t xml:space="preserve"> 42,1 тыс. рублей</w:t>
      </w:r>
      <w:r>
        <w:rPr>
          <w:rFonts w:ascii="Times New Roman" w:hAnsi="Times New Roman" w:eastAsiaTheme="minorHAnsi"/>
          <w:sz w:val="28"/>
          <w:szCs w:val="28"/>
        </w:rPr>
        <w:t xml:space="preserve">, из них </w:t>
      </w:r>
      <w:r>
        <w:rPr>
          <w:rFonts w:ascii="Times New Roman" w:hAnsi="Times New Roman" w:eastAsiaTheme="minorHAnsi"/>
          <w:sz w:val="28"/>
          <w:szCs w:val="28"/>
        </w:rPr>
        <w:t xml:space="preserve">29,1</w:t>
      </w:r>
      <w:r>
        <w:rPr>
          <w:rFonts w:ascii="Times New Roman" w:hAnsi="Times New Roman" w:eastAsiaTheme="minorHAnsi"/>
          <w:sz w:val="28"/>
          <w:szCs w:val="28"/>
        </w:rPr>
        <w:t xml:space="preserve"> тыс. рублей </w:t>
      </w:r>
      <w:r>
        <w:rPr>
          <w:rFonts w:ascii="Times New Roman" w:hAnsi="Times New Roman" w:eastAsiaTheme="minorHAnsi"/>
          <w:sz w:val="28"/>
          <w:szCs w:val="28"/>
        </w:rPr>
        <w:t xml:space="preserve">ошибочно поступившие средства.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Просроченная кредиторская задолженность по состоянию на 1 января 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года отсутствует.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/>
      <w:bookmarkStart w:id="0" w:name="undefined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Выводы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cs="Times New Roman"/>
          <w:sz w:val="28"/>
          <w:szCs w:val="28"/>
        </w:rPr>
        <w:t xml:space="preserve">По данным годового отчета об исполнении окружного бюджета,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 доходы составили </w:t>
      </w:r>
      <w:r>
        <w:rPr>
          <w:rFonts w:ascii="Times New Roman" w:hAnsi="Times New Roman" w:cs="Times New Roman"/>
          <w:sz w:val="28"/>
          <w:szCs w:val="28"/>
        </w:rPr>
        <w:t xml:space="preserve">68 312 731,1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10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6 </w:t>
      </w:r>
      <w:r>
        <w:rPr>
          <w:rFonts w:ascii="Times New Roman" w:hAnsi="Times New Roman" w:cs="Times New Roman"/>
          <w:sz w:val="28"/>
          <w:szCs w:val="28"/>
        </w:rPr>
        <w:t xml:space="preserve">% утвержденных назначений (</w:t>
      </w:r>
      <w:r>
        <w:rPr>
          <w:rFonts w:ascii="Times New Roman" w:hAnsi="Times New Roman" w:cs="Times New Roman"/>
          <w:sz w:val="28"/>
          <w:szCs w:val="28"/>
        </w:rPr>
        <w:t xml:space="preserve">67 225 315,1</w:t>
      </w:r>
      <w:r>
        <w:rPr>
          <w:rFonts w:ascii="Times New Roman" w:hAnsi="Times New Roman" w:cs="Times New Roman"/>
          <w:sz w:val="28"/>
          <w:szCs w:val="28"/>
        </w:rPr>
        <w:t xml:space="preserve"> тыс. рублей);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расходы – </w:t>
      </w:r>
      <w:r>
        <w:rPr>
          <w:rFonts w:ascii="Times New Roman" w:hAnsi="Times New Roman" w:cs="Times New Roman"/>
          <w:sz w:val="28"/>
          <w:szCs w:val="28"/>
        </w:rPr>
        <w:t xml:space="preserve">68 482 811,4 </w:t>
      </w:r>
      <w:r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>
        <w:rPr>
          <w:rFonts w:ascii="Times New Roman" w:hAnsi="Times New Roman" w:cs="Times New Roman"/>
          <w:sz w:val="28"/>
          <w:szCs w:val="28"/>
        </w:rPr>
        <w:t xml:space="preserve">98,7 </w:t>
      </w:r>
      <w:r>
        <w:rPr>
          <w:rFonts w:ascii="Times New Roman" w:hAnsi="Times New Roman" w:cs="Times New Roman"/>
          <w:sz w:val="28"/>
          <w:szCs w:val="28"/>
        </w:rPr>
        <w:t xml:space="preserve">% сводной бюджетной росписи (</w:t>
      </w:r>
      <w:r>
        <w:rPr>
          <w:rFonts w:ascii="Times New Roman" w:hAnsi="Times New Roman" w:cs="Times New Roman"/>
          <w:sz w:val="28"/>
          <w:szCs w:val="28"/>
        </w:rPr>
        <w:t xml:space="preserve">69 382 771,1 </w:t>
      </w:r>
      <w:r>
        <w:rPr>
          <w:rFonts w:ascii="Times New Roman" w:hAnsi="Times New Roman" w:cs="Times New Roman"/>
          <w:sz w:val="28"/>
          <w:szCs w:val="28"/>
        </w:rPr>
        <w:t xml:space="preserve">тыс. рублей) и 9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6 </w:t>
      </w:r>
      <w:r>
        <w:rPr>
          <w:rFonts w:ascii="Times New Roman" w:hAnsi="Times New Roman" w:cs="Times New Roman"/>
          <w:sz w:val="28"/>
          <w:szCs w:val="28"/>
        </w:rPr>
        <w:t xml:space="preserve">% бюджетных ассигнований, утвержденных Законом об окружном бюджете (</w:t>
      </w:r>
      <w:r>
        <w:rPr>
          <w:rFonts w:ascii="Times New Roman" w:hAnsi="Times New Roman" w:cs="Times New Roman"/>
          <w:sz w:val="28"/>
          <w:szCs w:val="28"/>
        </w:rPr>
        <w:t xml:space="preserve">69 453 286,1</w:t>
      </w:r>
      <w:r>
        <w:rPr>
          <w:rFonts w:ascii="Times New Roman" w:hAnsi="Times New Roman" w:cs="Times New Roman"/>
          <w:sz w:val="28"/>
          <w:szCs w:val="28"/>
        </w:rPr>
        <w:t xml:space="preserve"> тыс. рублей)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 отчетном периоде о</w:t>
      </w:r>
      <w:r>
        <w:rPr>
          <w:rFonts w:ascii="Times New Roman" w:hAnsi="Times New Roman" w:cs="Times New Roman"/>
          <w:sz w:val="28"/>
          <w:szCs w:val="28"/>
        </w:rPr>
        <w:t xml:space="preserve">бъем расходов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утвержденный Законом об окружном бюджете</w:t>
      </w:r>
      <w:r>
        <w:rPr>
          <w:rFonts w:ascii="Times New Roman" w:hAnsi="Times New Roman" w:cs="Times New Roman"/>
          <w:sz w:val="28"/>
          <w:szCs w:val="28"/>
        </w:rPr>
        <w:t xml:space="preserve">, превысил объем расходов, утвержденный сводной бюджетной росписью, на </w:t>
      </w:r>
      <w:r>
        <w:rPr>
          <w:rFonts w:ascii="Times New Roman" w:hAnsi="Times New Roman" w:cs="Times New Roman"/>
          <w:sz w:val="28"/>
          <w:szCs w:val="28"/>
        </w:rPr>
        <w:t xml:space="preserve">70 515,0 тыс. рублей </w:t>
      </w:r>
      <w:r>
        <w:rPr>
          <w:rFonts w:ascii="Times New Roman" w:hAnsi="Times New Roman" w:cs="Times New Roman"/>
          <w:sz w:val="28"/>
          <w:szCs w:val="28"/>
        </w:rPr>
        <w:t xml:space="preserve">(0,1 %).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cs="Times New Roman"/>
          <w:sz w:val="28"/>
          <w:szCs w:val="28"/>
        </w:rPr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дефицит окружного бюджета составил 170 080,3</w:t>
      </w:r>
      <w:r>
        <w:rPr>
          <w:rFonts w:ascii="Times New Roman" w:hAnsi="Times New Roman" w:cs="Times New Roman"/>
          <w:sz w:val="28"/>
          <w:szCs w:val="28"/>
        </w:rPr>
        <w:t xml:space="preserve"> тыс. рублей при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запланированном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2 227 971,0 тыс. рублей.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cs="Times New Roman"/>
          <w:sz w:val="28"/>
          <w:szCs w:val="28"/>
        </w:rPr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cs="Times New Roman"/>
          <w:sz w:val="28"/>
          <w:szCs w:val="28"/>
        </w:rPr>
        <w:t xml:space="preserve">В структуре доходов окружного бюджета наибольший удельный вес составляют </w:t>
      </w:r>
      <w:r>
        <w:rPr>
          <w:rFonts w:ascii="Times New Roman" w:hAnsi="Times New Roman" w:cs="Times New Roman"/>
          <w:sz w:val="28"/>
          <w:szCs w:val="28"/>
        </w:rPr>
        <w:t xml:space="preserve">налоговые доходы – 56,6 % </w:t>
      </w:r>
      <w:r>
        <w:rPr>
          <w:rFonts w:ascii="Times New Roman" w:hAnsi="Times New Roman" w:cs="Times New Roman"/>
          <w:sz w:val="28"/>
          <w:szCs w:val="28"/>
        </w:rPr>
        <w:t xml:space="preserve">(38 688 712,0 тыс. рублей, из них </w:t>
      </w:r>
      <w:r>
        <w:rPr>
          <w:rFonts w:ascii="Times New Roman" w:hAnsi="Times New Roman" w:cs="Times New Roman"/>
          <w:sz w:val="28"/>
          <w:szCs w:val="28"/>
        </w:rPr>
        <w:t xml:space="preserve">налог на прибыль организаций – 14 406 906,3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, налоги, сборы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регулярные платежи за пользование природными ресурсами – 12 180 636,9 тыс. рублей и налог на доходы физических лиц – 9 080 508,1 тыс. рублей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езвозмездные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занимают 41,7 </w:t>
      </w:r>
      <w:r>
        <w:rPr>
          <w:rFonts w:ascii="Times New Roman" w:hAnsi="Times New Roman" w:cs="Times New Roman"/>
          <w:sz w:val="28"/>
          <w:szCs w:val="28"/>
        </w:rPr>
        <w:t xml:space="preserve">% (</w:t>
      </w:r>
      <w:r>
        <w:rPr>
          <w:rFonts w:ascii="Times New Roman" w:hAnsi="Times New Roman" w:cs="Times New Roman"/>
          <w:sz w:val="28"/>
          <w:szCs w:val="28"/>
        </w:rPr>
        <w:t xml:space="preserve">28 470 444,8</w:t>
      </w:r>
      <w:r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 xml:space="preserve">из них</w:t>
      </w:r>
      <w:r>
        <w:rPr>
          <w:rFonts w:ascii="Times New Roman" w:hAnsi="Times New Roman" w:cs="Times New Roman"/>
          <w:sz w:val="28"/>
          <w:szCs w:val="28"/>
        </w:rPr>
        <w:t xml:space="preserve"> дотации 1</w:t>
      </w:r>
      <w:r>
        <w:rPr>
          <w:rFonts w:ascii="Times New Roman" w:hAnsi="Times New Roman" w:cs="Times New Roman"/>
          <w:sz w:val="28"/>
          <w:szCs w:val="28"/>
        </w:rPr>
        <w:t xml:space="preserve">7 150 033,1 </w:t>
      </w:r>
      <w:r>
        <w:rPr>
          <w:rFonts w:ascii="Times New Roman" w:hAnsi="Times New Roman" w:cs="Times New Roman"/>
          <w:sz w:val="28"/>
          <w:szCs w:val="28"/>
        </w:rPr>
        <w:t xml:space="preserve">тыс. рублей).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еналоговые доходы </w:t>
      </w:r>
      <w:r>
        <w:rPr>
          <w:rFonts w:ascii="Times New Roman" w:hAnsi="Times New Roman" w:cs="Times New Roman"/>
          <w:sz w:val="28"/>
          <w:szCs w:val="28"/>
        </w:rPr>
        <w:t xml:space="preserve">составляют 1,7 </w:t>
      </w:r>
      <w:r>
        <w:rPr>
          <w:rFonts w:ascii="Times New Roman" w:hAnsi="Times New Roman" w:cs="Times New Roman"/>
          <w:sz w:val="28"/>
          <w:szCs w:val="28"/>
        </w:rPr>
        <w:t xml:space="preserve">% (1</w:t>
      </w:r>
      <w:r>
        <w:rPr>
          <w:rFonts w:ascii="Times New Roman" w:hAnsi="Times New Roman" w:cs="Times New Roman"/>
          <w:sz w:val="28"/>
          <w:szCs w:val="28"/>
        </w:rPr>
        <w:t xml:space="preserve"> 153 574,3</w:t>
      </w:r>
      <w:r>
        <w:rPr>
          <w:rFonts w:ascii="Times New Roman" w:hAnsi="Times New Roman" w:cs="Times New Roman"/>
          <w:sz w:val="28"/>
          <w:szCs w:val="28"/>
        </w:rPr>
        <w:t xml:space="preserve"> тыс. рублей).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3. </w:t>
      </w:r>
      <w:r>
        <w:rPr>
          <w:rFonts w:ascii="Times New Roman" w:hAnsi="Times New Roman" w:cs="Times New Roman"/>
          <w:sz w:val="28"/>
          <w:szCs w:val="28"/>
        </w:rPr>
        <w:t xml:space="preserve">В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году основную долю в структуре расходов </w:t>
      </w:r>
      <w:r>
        <w:rPr>
          <w:rFonts w:ascii="Times New Roman" w:hAnsi="Times New Roman" w:cs="Times New Roman"/>
          <w:sz w:val="28"/>
          <w:szCs w:val="28"/>
        </w:rPr>
        <w:t xml:space="preserve">окружного бюджета традиционно составляют расходы по разделам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Жилищно-коммунальное хозяйство</w:t>
      </w:r>
      <w:r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1 </w:t>
      </w:r>
      <w:r>
        <w:rPr>
          <w:rFonts w:ascii="Times New Roman" w:hAnsi="Times New Roman" w:cs="Times New Roman"/>
          <w:sz w:val="28"/>
          <w:szCs w:val="28"/>
        </w:rPr>
        <w:t xml:space="preserve">% (</w:t>
      </w:r>
      <w:r>
        <w:rPr>
          <w:rFonts w:ascii="Times New Roman" w:hAnsi="Times New Roman" w:cs="Times New Roman"/>
          <w:sz w:val="28"/>
          <w:szCs w:val="28"/>
        </w:rPr>
        <w:t xml:space="preserve">21 240 431,0</w:t>
      </w:r>
      <w:r>
        <w:rPr>
          <w:rFonts w:ascii="Times New Roman" w:hAnsi="Times New Roman" w:cs="Times New Roman"/>
          <w:sz w:val="28"/>
          <w:szCs w:val="28"/>
        </w:rPr>
        <w:t xml:space="preserve"> тыс. рублей), «Национальная экономика» – </w:t>
      </w:r>
      <w:r>
        <w:rPr>
          <w:rFonts w:ascii="Times New Roman" w:hAnsi="Times New Roman" w:cs="Times New Roman"/>
          <w:sz w:val="28"/>
          <w:szCs w:val="28"/>
        </w:rPr>
        <w:t xml:space="preserve">23,1 </w:t>
      </w:r>
      <w:r>
        <w:rPr>
          <w:rFonts w:ascii="Times New Roman" w:hAnsi="Times New Roman" w:cs="Times New Roman"/>
          <w:sz w:val="28"/>
          <w:szCs w:val="28"/>
        </w:rPr>
        <w:t xml:space="preserve">% (1</w:t>
      </w:r>
      <w:r>
        <w:rPr>
          <w:rFonts w:ascii="Times New Roman" w:hAnsi="Times New Roman" w:cs="Times New Roman"/>
          <w:sz w:val="28"/>
          <w:szCs w:val="28"/>
        </w:rPr>
        <w:t xml:space="preserve">5 795 079,5</w:t>
      </w:r>
      <w:r>
        <w:rPr>
          <w:rFonts w:ascii="Times New Roman" w:hAnsi="Times New Roman" w:cs="Times New Roman"/>
          <w:sz w:val="28"/>
          <w:szCs w:val="28"/>
        </w:rPr>
        <w:t xml:space="preserve"> тыс. рублей), «Образование» – </w:t>
      </w:r>
      <w:r>
        <w:rPr>
          <w:rFonts w:ascii="Times New Roman" w:hAnsi="Times New Roman" w:cs="Times New Roman"/>
          <w:sz w:val="28"/>
          <w:szCs w:val="28"/>
        </w:rPr>
        <w:t xml:space="preserve">14,2 </w:t>
      </w:r>
      <w:r>
        <w:rPr>
          <w:rFonts w:ascii="Times New Roman" w:hAnsi="Times New Roman" w:cs="Times New Roman"/>
          <w:sz w:val="28"/>
          <w:szCs w:val="28"/>
        </w:rPr>
        <w:t xml:space="preserve">% (9</w:t>
      </w:r>
      <w:r>
        <w:rPr>
          <w:rFonts w:ascii="Times New Roman" w:hAnsi="Times New Roman" w:cs="Times New Roman"/>
          <w:sz w:val="28"/>
          <w:szCs w:val="28"/>
        </w:rPr>
        <w:t xml:space="preserve"> 717 992,4</w:t>
      </w:r>
      <w:r>
        <w:rPr>
          <w:rFonts w:ascii="Times New Roman" w:hAnsi="Times New Roman" w:cs="Times New Roman"/>
          <w:sz w:val="28"/>
          <w:szCs w:val="28"/>
        </w:rPr>
        <w:t xml:space="preserve"> тыс. рублей), «Межбюджетные трансферты общего характера» – </w:t>
      </w:r>
      <w:r>
        <w:rPr>
          <w:rFonts w:ascii="Times New Roman" w:hAnsi="Times New Roman" w:cs="Times New Roman"/>
          <w:sz w:val="28"/>
          <w:szCs w:val="28"/>
        </w:rPr>
        <w:t xml:space="preserve">8,6 </w:t>
      </w:r>
      <w:r>
        <w:rPr>
          <w:rFonts w:ascii="Times New Roman" w:hAnsi="Times New Roman" w:cs="Times New Roman"/>
          <w:sz w:val="28"/>
          <w:szCs w:val="28"/>
        </w:rPr>
        <w:t xml:space="preserve">% (</w:t>
      </w:r>
      <w:r>
        <w:rPr>
          <w:rFonts w:ascii="Times New Roman" w:hAnsi="Times New Roman" w:cs="Times New Roman"/>
          <w:sz w:val="28"/>
          <w:szCs w:val="28"/>
        </w:rPr>
        <w:t xml:space="preserve">5 914 379,0 </w:t>
      </w:r>
      <w:r>
        <w:rPr>
          <w:rFonts w:ascii="Times New Roman" w:hAnsi="Times New Roman" w:cs="Times New Roman"/>
          <w:sz w:val="28"/>
          <w:szCs w:val="28"/>
        </w:rPr>
        <w:t xml:space="preserve">тыс. рублей), и «Социальная политика» – </w:t>
      </w:r>
      <w:r>
        <w:rPr>
          <w:rFonts w:ascii="Times New Roman" w:hAnsi="Times New Roman" w:cs="Times New Roman"/>
          <w:sz w:val="28"/>
          <w:szCs w:val="28"/>
        </w:rPr>
        <w:t xml:space="preserve">8,5 </w:t>
      </w:r>
      <w:r>
        <w:rPr>
          <w:rFonts w:ascii="Times New Roman" w:hAnsi="Times New Roman" w:cs="Times New Roman"/>
          <w:sz w:val="28"/>
          <w:szCs w:val="28"/>
        </w:rPr>
        <w:t xml:space="preserve">% (</w:t>
      </w:r>
      <w:r>
        <w:rPr>
          <w:rFonts w:ascii="Times New Roman" w:hAnsi="Times New Roman" w:cs="Times New Roman"/>
          <w:sz w:val="28"/>
          <w:szCs w:val="28"/>
        </w:rPr>
        <w:t xml:space="preserve">5 828 054,5</w:t>
      </w:r>
      <w:r>
        <w:rPr>
          <w:rFonts w:ascii="Times New Roman" w:hAnsi="Times New Roman" w:cs="Times New Roman"/>
          <w:sz w:val="28"/>
          <w:szCs w:val="28"/>
        </w:rPr>
        <w:t xml:space="preserve"> тыс. рублей).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4. </w:t>
      </w:r>
      <w:r>
        <w:rPr>
          <w:rFonts w:ascii="Times New Roman" w:hAnsi="Times New Roman" w:cs="Times New Roman"/>
          <w:sz w:val="28"/>
          <w:szCs w:val="28"/>
        </w:rPr>
        <w:t xml:space="preserve">Закон об окружном бюджете и сводная бюджетная роспись с изменениями сформированы в программной структуре расходов на основе 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программ Чукотского автономного округа.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окружного бюджета на финансирование государственных программ составили 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4 719 412,0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cs="Times New Roman"/>
          <w:sz w:val="28"/>
          <w:szCs w:val="28"/>
        </w:rPr>
        <w:t xml:space="preserve">98,7 </w:t>
      </w:r>
      <w:r>
        <w:rPr>
          <w:rFonts w:ascii="Times New Roman" w:hAnsi="Times New Roman" w:cs="Times New Roman"/>
          <w:sz w:val="28"/>
          <w:szCs w:val="28"/>
        </w:rPr>
        <w:t xml:space="preserve">% утвержденных сводной бюджетной росписью ассигнований (</w:t>
      </w:r>
      <w:r>
        <w:rPr>
          <w:rFonts w:ascii="Times New Roman" w:hAnsi="Times New Roman" w:cs="Times New Roman"/>
          <w:sz w:val="28"/>
          <w:szCs w:val="28"/>
        </w:rPr>
        <w:t xml:space="preserve">65 553 111,0</w:t>
      </w:r>
      <w:r>
        <w:rPr>
          <w:rFonts w:ascii="Times New Roman" w:hAnsi="Times New Roman" w:cs="Times New Roman"/>
          <w:sz w:val="28"/>
          <w:szCs w:val="28"/>
        </w:rPr>
        <w:t xml:space="preserve"> тыс. рублей).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5. 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на 1 января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 на учете состоит 54 объекта незавершенного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(общая сметная стоимость – 3</w:t>
      </w:r>
      <w:r>
        <w:rPr>
          <w:rFonts w:ascii="Times New Roman" w:hAnsi="Times New Roman" w:cs="Times New Roman"/>
          <w:sz w:val="28"/>
          <w:szCs w:val="28"/>
        </w:rPr>
        <w:t xml:space="preserve">5 791 362,4</w:t>
      </w:r>
      <w:r>
        <w:rPr>
          <w:rFonts w:ascii="Times New Roman" w:hAnsi="Times New Roman" w:cs="Times New Roman"/>
          <w:sz w:val="28"/>
          <w:szCs w:val="28"/>
        </w:rPr>
        <w:t xml:space="preserve"> тыс. рублей)</w:t>
      </w:r>
      <w:r>
        <w:rPr>
          <w:rFonts w:ascii="Times New Roman" w:hAnsi="Times New Roman" w:cs="Times New Roman"/>
          <w:sz w:val="28"/>
          <w:szCs w:val="28"/>
        </w:rPr>
        <w:t xml:space="preserve">, общий объем средств, направленный на реализацию мероприятий по строительству указанных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учетом авансирования)</w:t>
      </w:r>
      <w:r>
        <w:rPr>
          <w:rFonts w:ascii="Times New Roman" w:hAnsi="Times New Roman" w:cs="Times New Roman"/>
          <w:sz w:val="28"/>
          <w:szCs w:val="28"/>
        </w:rPr>
        <w:t xml:space="preserve">, составляет </w:t>
      </w:r>
      <w:r>
        <w:rPr>
          <w:rFonts w:ascii="Times New Roman" w:hAnsi="Times New Roman" w:cs="Times New Roman"/>
          <w:sz w:val="28"/>
          <w:szCs w:val="28"/>
        </w:rPr>
        <w:t xml:space="preserve">10 644 059,9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, из них средства федерального бюджета 7</w:t>
      </w:r>
      <w:r>
        <w:rPr>
          <w:rFonts w:ascii="Times New Roman" w:hAnsi="Times New Roman" w:cs="Times New Roman"/>
          <w:sz w:val="28"/>
          <w:szCs w:val="28"/>
        </w:rPr>
        <w:t xml:space="preserve">2,7 </w:t>
      </w:r>
      <w:r>
        <w:rPr>
          <w:rFonts w:ascii="Times New Roman" w:hAnsi="Times New Roman" w:cs="Times New Roman"/>
          <w:sz w:val="28"/>
          <w:szCs w:val="28"/>
        </w:rPr>
        <w:t xml:space="preserve">% или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 734 376,4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отметить, что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Чукот</w:t>
      </w:r>
      <w:r>
        <w:rPr>
          <w:rFonts w:ascii="Times New Roman" w:hAnsi="Times New Roman" w:cs="Times New Roman"/>
          <w:sz w:val="28"/>
          <w:szCs w:val="28"/>
        </w:rPr>
        <w:t xml:space="preserve">ского автономного округа от 2 декабря 2022 года № 597 утверждено Положение о порядке формирования и ведения регионального реестра незавершенных объектов капитального строительства, составе включаемых в него сведений и порядке предоставления таких сведений.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указанного выше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</w:t>
      </w:r>
      <w:r>
        <w:rPr>
          <w:rFonts w:ascii="Times New Roman" w:hAnsi="Times New Roman" w:cs="Times New Roman"/>
          <w:sz w:val="28"/>
          <w:szCs w:val="28"/>
        </w:rPr>
        <w:t xml:space="preserve">ен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промышленной политики Чукотского автономного округа.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подготовки данного Заключения не </w:t>
      </w:r>
      <w:r>
        <w:rPr>
          <w:rFonts w:ascii="Times New Roman" w:hAnsi="Times New Roman" w:cs="Times New Roman"/>
          <w:sz w:val="28"/>
          <w:szCs w:val="28"/>
        </w:rPr>
        <w:t xml:space="preserve">обеспечено ведение реестра незавершенных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6. </w:t>
      </w:r>
      <w:r>
        <w:rPr>
          <w:rFonts w:ascii="Times New Roman" w:hAnsi="Times New Roman" w:cs="Times New Roman"/>
          <w:sz w:val="28"/>
          <w:szCs w:val="28"/>
        </w:rPr>
        <w:t xml:space="preserve">Доходы Дорожного фонда в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составили </w:t>
      </w:r>
      <w:r>
        <w:rPr>
          <w:rFonts w:ascii="Times New Roman" w:hAnsi="Times New Roman" w:cs="Times New Roman"/>
          <w:sz w:val="28"/>
          <w:szCs w:val="28"/>
        </w:rPr>
        <w:t xml:space="preserve">3 411 654,8</w:t>
      </w:r>
      <w:r>
        <w:rPr>
          <w:rFonts w:ascii="Times New Roman" w:hAnsi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cs="Times New Roman"/>
          <w:sz w:val="28"/>
          <w:szCs w:val="28"/>
        </w:rPr>
        <w:t xml:space="preserve"> (утверждено – 3 442 783,4 тыс. рублей)</w:t>
      </w:r>
      <w:r>
        <w:rPr>
          <w:rFonts w:ascii="Times New Roman" w:hAnsi="Times New Roman" w:cs="Times New Roman"/>
          <w:sz w:val="28"/>
          <w:szCs w:val="28"/>
        </w:rPr>
        <w:t xml:space="preserve">, расходы – </w:t>
      </w:r>
      <w:r>
        <w:rPr>
          <w:rFonts w:ascii="Times New Roman" w:hAnsi="Times New Roman" w:cs="Times New Roman"/>
          <w:sz w:val="28"/>
          <w:szCs w:val="28"/>
        </w:rPr>
        <w:t xml:space="preserve">3 807 714,6</w:t>
      </w:r>
      <w:r>
        <w:rPr>
          <w:rFonts w:ascii="Times New Roman" w:hAnsi="Times New Roman" w:cs="Times New Roman"/>
          <w:sz w:val="28"/>
          <w:szCs w:val="28"/>
        </w:rPr>
        <w:t xml:space="preserve"> тыс. рублей. Расходы Дорожного фонда, превышающие его доходы на </w:t>
      </w:r>
      <w:r>
        <w:rPr>
          <w:rFonts w:ascii="Times New Roman" w:hAnsi="Times New Roman" w:cs="Times New Roman"/>
          <w:sz w:val="28"/>
          <w:szCs w:val="28"/>
        </w:rPr>
        <w:t xml:space="preserve">396 059,8</w:t>
      </w:r>
      <w:r>
        <w:rPr>
          <w:rFonts w:ascii="Times New Roman" w:hAnsi="Times New Roman" w:cs="Times New Roman"/>
          <w:sz w:val="28"/>
          <w:szCs w:val="28"/>
        </w:rPr>
        <w:t xml:space="preserve"> тыс. рублей, осуществлены за счет собственных средств окружного бюджета.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7. </w:t>
      </w:r>
      <w:r>
        <w:rPr>
          <w:rFonts w:ascii="Times New Roman" w:hAnsi="Times New Roman" w:cs="Times New Roman"/>
          <w:sz w:val="28"/>
          <w:szCs w:val="28"/>
        </w:rPr>
        <w:t xml:space="preserve">Резервный фонд Правительства Чукотского автономного округа на непредвиденные расходы в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году утвержден в объеме </w:t>
      </w:r>
      <w:r>
        <w:rPr>
          <w:rFonts w:ascii="Times New Roman" w:hAnsi="Times New Roman" w:cs="Times New Roman"/>
          <w:sz w:val="28"/>
          <w:szCs w:val="28"/>
        </w:rPr>
        <w:t xml:space="preserve">356 035,5</w:t>
      </w:r>
      <w:r>
        <w:rPr>
          <w:rFonts w:ascii="Times New Roman" w:hAnsi="Times New Roman" w:cs="Times New Roman"/>
          <w:sz w:val="28"/>
          <w:szCs w:val="28"/>
        </w:rPr>
        <w:t xml:space="preserve"> тыс. рублей. Средства Резервного фонда распределены в сумме </w:t>
      </w:r>
      <w:r>
        <w:rPr>
          <w:rFonts w:ascii="Times New Roman" w:hAnsi="Times New Roman" w:cs="Times New Roman"/>
          <w:sz w:val="28"/>
          <w:szCs w:val="28"/>
        </w:rPr>
        <w:t xml:space="preserve">347 908,5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рублей, расходы составили </w:t>
      </w:r>
      <w:r>
        <w:rPr>
          <w:rFonts w:ascii="Times New Roman" w:hAnsi="Times New Roman" w:cs="Times New Roman"/>
          <w:sz w:val="28"/>
          <w:szCs w:val="28"/>
        </w:rPr>
        <w:t xml:space="preserve">336 521,6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8. 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на 1 января 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 задолженность по выданным из окружного бюджета кредитам составила </w:t>
      </w:r>
      <w:r>
        <w:rPr>
          <w:rFonts w:ascii="Times New Roman" w:hAnsi="Times New Roman" w:cs="Times New Roman"/>
          <w:sz w:val="28"/>
          <w:szCs w:val="28"/>
        </w:rPr>
        <w:t xml:space="preserve">1 222 750,7</w:t>
      </w:r>
      <w:r>
        <w:rPr>
          <w:rFonts w:ascii="Times New Roman" w:hAnsi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cs="Times New Roman"/>
          <w:sz w:val="28"/>
          <w:szCs w:val="28"/>
        </w:rPr>
        <w:t xml:space="preserve">, в том числе: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90 000,0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 –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местным бюджетам на частичное покрытие дефицитов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- 1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 132 750,7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тыс. рублей –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юридическим лицам для закупки и доставки топлива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социально значимых продовольственных товаров и непродовольственных товаров первой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лекарственных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медицинских изделий, специализированных продуктов лечебного 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 отчетном периоде в доход окружного бюджета поступила плата за предоставление кредитов в сумме </w:t>
      </w:r>
      <w:r>
        <w:rPr>
          <w:rFonts w:ascii="Times New Roman" w:hAnsi="Times New Roman" w:cs="Times New Roman"/>
          <w:sz w:val="28"/>
          <w:szCs w:val="28"/>
        </w:rPr>
        <w:t xml:space="preserve">36 068,3</w:t>
      </w:r>
      <w:r>
        <w:rPr>
          <w:rFonts w:ascii="Times New Roman" w:hAnsi="Times New Roman" w:cs="Times New Roman"/>
          <w:sz w:val="28"/>
          <w:szCs w:val="28"/>
        </w:rPr>
        <w:t xml:space="preserve"> тыс. рублей.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9. </w:t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 xml:space="preserve">Государственный долг Чукотского автономного округа по итогам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увеличился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26 354,0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тыс. рублей и по состоянию на 1 января 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 года составил 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 841 352,5</w:t>
      </w:r>
      <w:r>
        <w:rPr>
          <w:rFonts w:ascii="Times New Roman" w:hAnsi="Times New Roman" w:cs="Times New Roman"/>
          <w:sz w:val="28"/>
          <w:szCs w:val="28"/>
        </w:rPr>
        <w:t xml:space="preserve"> тыс. рублей, из н</w:t>
      </w:r>
      <w:r>
        <w:rPr>
          <w:rFonts w:ascii="Times New Roman" w:hAnsi="Times New Roman" w:cs="Times New Roman"/>
          <w:sz w:val="28"/>
          <w:szCs w:val="28"/>
        </w:rPr>
        <w:t xml:space="preserve">их</w:t>
      </w:r>
      <w:r>
        <w:rPr>
          <w:rFonts w:ascii="Times New Roman" w:hAnsi="Times New Roman" w:cs="Times New Roman"/>
          <w:sz w:val="28"/>
          <w:szCs w:val="28"/>
        </w:rPr>
        <w:t xml:space="preserve"> 56 970,0 тыс. рублей – обеспечение государственных гарантий. Объем государственного долга соответствует требованиям, установленным статьей 107 Бюджетного кодекса.</w:t>
      </w:r>
      <w:bookmarkEnd w:id="0"/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окружного бюджета на обслуживание государственного долга в 2025 году не превысили ограничения, установленные статьей 111 Бюджетного кодекса, и составили 24 018,9 тыс. рублей, из них 6 242,6 тыс. рублей – обслуживание государственны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ценны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бумаг округа.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10. 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на 1 января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 дебиторская задолженность окружного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снизилась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37,5 </w:t>
      </w:r>
      <w:r>
        <w:rPr>
          <w:rFonts w:ascii="Times New Roman" w:hAnsi="Times New Roman" w:cs="Times New Roman"/>
          <w:sz w:val="28"/>
          <w:szCs w:val="28"/>
        </w:rPr>
        <w:t xml:space="preserve">% или </w:t>
      </w:r>
      <w:r>
        <w:rPr>
          <w:rFonts w:ascii="Times New Roman" w:hAnsi="Times New Roman" w:cs="Times New Roman"/>
          <w:sz w:val="28"/>
          <w:szCs w:val="28"/>
        </w:rPr>
        <w:t xml:space="preserve">15 280 612,3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cs="Times New Roman"/>
          <w:sz w:val="28"/>
          <w:szCs w:val="28"/>
        </w:rPr>
        <w:t xml:space="preserve">25 428 114,9</w:t>
      </w:r>
      <w:r>
        <w:rPr>
          <w:rFonts w:ascii="Times New Roman" w:hAnsi="Times New Roman" w:cs="Times New Roman"/>
          <w:sz w:val="28"/>
          <w:szCs w:val="28"/>
        </w:rPr>
        <w:t xml:space="preserve"> тыс. рублей. В составе дебиторской задолженности наибольший удельный вес </w:t>
      </w:r>
      <w:r>
        <w:rPr>
          <w:rFonts w:ascii="Times New Roman" w:hAnsi="Times New Roman" w:cs="Times New Roman"/>
          <w:sz w:val="28"/>
          <w:szCs w:val="28"/>
        </w:rPr>
        <w:t xml:space="preserve">занимают расчеты по доходам – </w:t>
      </w:r>
      <w:r>
        <w:rPr>
          <w:rFonts w:ascii="Times New Roman" w:hAnsi="Times New Roman" w:cs="Times New Roman"/>
          <w:sz w:val="28"/>
          <w:szCs w:val="28"/>
        </w:rPr>
        <w:t xml:space="preserve">79,7 </w:t>
      </w:r>
      <w:r>
        <w:rPr>
          <w:rFonts w:ascii="Times New Roman" w:hAnsi="Times New Roman" w:cs="Times New Roman"/>
          <w:sz w:val="28"/>
          <w:szCs w:val="28"/>
        </w:rPr>
        <w:t xml:space="preserve">% (</w:t>
      </w:r>
      <w:r>
        <w:rPr>
          <w:rFonts w:ascii="Times New Roman" w:hAnsi="Times New Roman" w:cs="Times New Roman"/>
          <w:sz w:val="28"/>
          <w:szCs w:val="28"/>
        </w:rPr>
        <w:t xml:space="preserve">20 276 896,8</w:t>
      </w:r>
      <w:r>
        <w:rPr>
          <w:rFonts w:ascii="Times New Roman" w:hAnsi="Times New Roman" w:cs="Times New Roman"/>
          <w:sz w:val="28"/>
          <w:szCs w:val="28"/>
        </w:rPr>
        <w:t xml:space="preserve"> тыс. рублей), основная </w:t>
      </w:r>
      <w:r>
        <w:rPr>
          <w:rFonts w:ascii="Times New Roman" w:hAnsi="Times New Roman" w:cs="Times New Roman"/>
          <w:sz w:val="28"/>
          <w:szCs w:val="28"/>
        </w:rPr>
        <w:t xml:space="preserve">доля дебиторской задолженности по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доходам – межбюджетные трансферты текущего характера из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бюджета на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-202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годы – </w:t>
      </w:r>
      <w:r>
        <w:rPr>
          <w:rFonts w:ascii="Times New Roman" w:hAnsi="Times New Roman" w:cs="Times New Roman"/>
          <w:sz w:val="28"/>
          <w:szCs w:val="28"/>
        </w:rPr>
        <w:t xml:space="preserve">10 549 592,8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трансферты капитального характера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5 580 712,5</w:t>
      </w:r>
      <w:r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 xml:space="preserve">по налогам – 3 806 590,5 тыс. рублей. Дебиторская задолженность по ущербу и доходам составила 1 232 676,7 тыс. рублей.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Кредиторская задолженность в отчетном периоде </w:t>
      </w:r>
      <w:r>
        <w:rPr>
          <w:rFonts w:ascii="Times New Roman" w:hAnsi="Times New Roman" w:cs="Times New Roman"/>
          <w:sz w:val="28"/>
          <w:szCs w:val="28"/>
        </w:rPr>
        <w:t xml:space="preserve">снизилась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 </w:t>
      </w:r>
      <w:r>
        <w:rPr>
          <w:rFonts w:ascii="Times New Roman" w:hAnsi="Times New Roman" w:cs="Times New Roman"/>
          <w:sz w:val="28"/>
          <w:szCs w:val="28"/>
        </w:rPr>
        <w:t xml:space="preserve">2 066 500,6</w:t>
      </w:r>
      <w:r>
        <w:rPr>
          <w:rFonts w:ascii="Times New Roman" w:hAnsi="Times New Roman" w:cs="Times New Roman"/>
          <w:sz w:val="28"/>
          <w:szCs w:val="28"/>
        </w:rPr>
        <w:t xml:space="preserve"> тыс. рублей и составила </w:t>
      </w:r>
      <w:r>
        <w:rPr>
          <w:rFonts w:ascii="Times New Roman" w:hAnsi="Times New Roman" w:cs="Times New Roman"/>
          <w:sz w:val="28"/>
          <w:szCs w:val="28"/>
        </w:rPr>
        <w:t xml:space="preserve">267 540,2</w:t>
      </w:r>
      <w:r>
        <w:rPr>
          <w:rFonts w:ascii="Times New Roman" w:hAnsi="Times New Roman" w:cs="Times New Roman"/>
          <w:sz w:val="28"/>
          <w:szCs w:val="28"/>
        </w:rPr>
        <w:t xml:space="preserve"> тыс. рублей.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11. </w:t>
      </w:r>
      <w:r>
        <w:rPr>
          <w:rFonts w:ascii="Times New Roman" w:hAnsi="Times New Roman" w:cs="Times New Roman"/>
          <w:sz w:val="28"/>
          <w:szCs w:val="28"/>
        </w:rPr>
        <w:t xml:space="preserve">В ходе проверки бюджетной отчетности главных администраторов средств окружного бюджета за 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 год выявлены нарушения бюджетного законодательства и несоблюдение требований к бюджетному (бухгалтерскому) учету и сдаче отчетности, установлено </w:t>
      </w:r>
      <w:r>
        <w:rPr>
          <w:rFonts w:ascii="Times New Roman" w:hAnsi="Times New Roman" w:cs="Times New Roman"/>
          <w:sz w:val="28"/>
          <w:szCs w:val="28"/>
        </w:rPr>
        <w:t xml:space="preserve">57</w:t>
      </w:r>
      <w:r>
        <w:rPr>
          <w:rFonts w:ascii="Times New Roman" w:hAnsi="Times New Roman" w:cs="Times New Roman"/>
          <w:sz w:val="28"/>
          <w:szCs w:val="28"/>
        </w:rPr>
        <w:t xml:space="preserve"> процедурных нарушени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, не имеющих финансовой оценки</w:t>
      </w:r>
      <w:r>
        <w:rPr>
          <w:rFonts w:ascii="Times New Roman" w:hAnsi="Times New Roman" w:cs="Times New Roman"/>
          <w:sz w:val="28"/>
          <w:szCs w:val="28"/>
        </w:rPr>
        <w:footnoteReference w:id="130"/>
      </w:r>
      <w:r>
        <w:rPr>
          <w:rFonts w:ascii="Times New Roman" w:hAnsi="Times New Roman" w:cs="Times New Roman"/>
          <w:sz w:val="28"/>
          <w:szCs w:val="28"/>
        </w:rPr>
        <w:t xml:space="preserve">, и 1</w:t>
      </w:r>
      <w:r>
        <w:rPr>
          <w:rFonts w:ascii="Times New Roman" w:hAnsi="Times New Roman" w:cs="Times New Roman"/>
          <w:sz w:val="28"/>
          <w:szCs w:val="28"/>
        </w:rPr>
        <w:t xml:space="preserve">64</w:t>
      </w:r>
      <w:r>
        <w:rPr>
          <w:rFonts w:ascii="Times New Roman" w:hAnsi="Times New Roman" w:cs="Times New Roman"/>
          <w:sz w:val="28"/>
          <w:szCs w:val="28"/>
        </w:rPr>
        <w:t xml:space="preserve"> нарушени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, финансовая оценка которых составила </w:t>
      </w:r>
      <w:r>
        <w:rPr>
          <w:rFonts w:ascii="Times New Roman" w:hAnsi="Times New Roman" w:cs="Times New Roman"/>
          <w:sz w:val="28"/>
          <w:szCs w:val="28"/>
        </w:rPr>
        <w:t xml:space="preserve">23 256,6</w:t>
      </w:r>
      <w:r>
        <w:rPr>
          <w:rFonts w:ascii="Times New Roman" w:hAnsi="Times New Roman" w:cs="Times New Roman"/>
          <w:sz w:val="28"/>
          <w:szCs w:val="28"/>
        </w:rPr>
        <w:t xml:space="preserve"> тыс. рублей.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установлено </w:t>
      </w:r>
      <w:r>
        <w:rPr>
          <w:rFonts w:ascii="Times New Roman" w:hAnsi="Times New Roman" w:cs="Times New Roman"/>
          <w:sz w:val="28"/>
          <w:szCs w:val="28"/>
        </w:rPr>
        <w:t xml:space="preserve">77</w:t>
      </w:r>
      <w:r>
        <w:rPr>
          <w:rFonts w:ascii="Times New Roman" w:hAnsi="Times New Roman" w:cs="Times New Roman"/>
          <w:sz w:val="28"/>
          <w:szCs w:val="28"/>
        </w:rPr>
        <w:t xml:space="preserve"> финансовых и хозяйственных операций,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результате которых бюджетные средства израсходованы </w:t>
      </w:r>
      <w:r>
        <w:rPr>
          <w:rFonts w:ascii="Times New Roman" w:hAnsi="Times New Roman" w:cs="Times New Roman"/>
          <w:sz w:val="28"/>
          <w:szCs w:val="28"/>
        </w:rPr>
        <w:t xml:space="preserve">неэффективно, вследствие чего </w:t>
      </w:r>
      <w:r>
        <w:rPr>
          <w:rFonts w:ascii="Times New Roman" w:hAnsi="Times New Roman" w:cs="Times New Roman"/>
          <w:sz w:val="28"/>
          <w:szCs w:val="28"/>
        </w:rPr>
        <w:t xml:space="preserve">окружному бюджету причинен ущерб в сумме 1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64</w:t>
      </w:r>
      <w:r>
        <w:rPr>
          <w:rFonts w:ascii="Times New Roman" w:hAnsi="Times New Roman" w:cs="Times New Roman"/>
          <w:sz w:val="28"/>
          <w:szCs w:val="28"/>
        </w:rPr>
        <w:t xml:space="preserve">9 141,5</w:t>
      </w:r>
      <w:r>
        <w:rPr>
          <w:rFonts w:ascii="Times New Roman" w:hAnsi="Times New Roman" w:cs="Times New Roman"/>
          <w:sz w:val="28"/>
          <w:szCs w:val="28"/>
        </w:rPr>
        <w:t xml:space="preserve"> тыс. рублей, в том числе: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 избыточные расходы – 2 002,6 тыс. рублей (26 случаев) – </w:t>
      </w:r>
      <w:r>
        <w:rPr>
          <w:rFonts w:ascii="Times New Roman" w:hAnsi="Times New Roman" w:cs="Times New Roman"/>
          <w:sz w:val="28"/>
          <w:szCs w:val="28"/>
        </w:rPr>
        <w:t xml:space="preserve">оплата штрафных санкций, возмещение ущерба, судебных расходов, исполнительского сбора за неисполнение (ненадлежащее исполнение) обязательств, </w:t>
      </w:r>
      <w:r>
        <w:rPr>
          <w:rFonts w:ascii="Times New Roman" w:hAnsi="Times New Roman" w:cs="Times New Roman"/>
          <w:sz w:val="28"/>
          <w:szCs w:val="28"/>
        </w:rPr>
        <w:t xml:space="preserve">оплата ежегодных отпусков за неотработанный период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безрезультатные расходы </w:t>
      </w:r>
      <w:r>
        <w:rPr>
          <w:rFonts w:ascii="Times New Roman" w:hAnsi="Times New Roman" w:cs="Times New Roman"/>
          <w:sz w:val="28"/>
          <w:szCs w:val="28"/>
        </w:rPr>
        <w:t xml:space="preserve">– 1 647 138,9 тыс. рублей (51 случай) – </w:t>
      </w:r>
      <w:r>
        <w:rPr>
          <w:rFonts w:ascii="Times New Roman" w:hAnsi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строительстве пяти объектов</w:t>
      </w:r>
      <w:r>
        <w:rPr>
          <w:rFonts w:ascii="Times New Roman" w:hAnsi="Times New Roman" w:cs="Times New Roman"/>
          <w:sz w:val="28"/>
          <w:szCs w:val="28"/>
        </w:rPr>
        <w:footnoteReference w:id="131"/>
      </w:r>
      <w:r>
        <w:rPr>
          <w:rFonts w:ascii="Times New Roman" w:hAnsi="Times New Roman" w:cs="Times New Roman"/>
          <w:sz w:val="28"/>
          <w:szCs w:val="28"/>
        </w:rPr>
        <w:t xml:space="preserve"> подрядчиками работы не выполнены</w:t>
      </w:r>
      <w:r>
        <w:rPr>
          <w:rFonts w:ascii="Times New Roman" w:hAnsi="Times New Roman" w:cs="Times New Roman"/>
          <w:sz w:val="28"/>
          <w:szCs w:val="28"/>
        </w:rPr>
        <w:t xml:space="preserve">, что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привело к расторжению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контрактов, с</w:t>
      </w:r>
      <w:r>
        <w:rPr>
          <w:rFonts w:ascii="Times New Roman" w:hAnsi="Times New Roman" w:cs="Times New Roman"/>
          <w:sz w:val="28"/>
          <w:szCs w:val="28"/>
        </w:rPr>
        <w:t xml:space="preserve">редства </w:t>
      </w:r>
      <w:r>
        <w:rPr>
          <w:rFonts w:ascii="Times New Roman" w:hAnsi="Times New Roman" w:cs="Times New Roman"/>
          <w:sz w:val="28"/>
          <w:szCs w:val="28"/>
        </w:rPr>
        <w:t xml:space="preserve">авансов </w:t>
      </w:r>
      <w:r>
        <w:rPr>
          <w:rFonts w:ascii="Times New Roman" w:hAnsi="Times New Roman" w:cs="Times New Roman"/>
          <w:sz w:val="28"/>
          <w:szCs w:val="28"/>
        </w:rPr>
        <w:t xml:space="preserve">подлежат возврату в окружной бюджет, спортивно-технологическое оборудование (</w:t>
      </w:r>
      <w:r>
        <w:rPr>
          <w:rFonts w:ascii="Times New Roman" w:hAnsi="Times New Roman" w:cs="Times New Roman"/>
          <w:sz w:val="28"/>
          <w:szCs w:val="28"/>
        </w:rPr>
        <w:t xml:space="preserve">«умные» спортивные площадки) не установлены.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контрольного мероприятия бюджетная отчетность за 2025 год четырех главных администраторов средств окружного бюджета (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Департамент сельского хозяйства и продовольствия Чукотского автономного округа, Комитет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государственного регулирования цен и тарифов Чукотского автономного округа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Департамент природных ресурсов и экологии Чукотского автономного округа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 Департамент образования и науки Чукотского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автономного округа) представлена с нарушением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срока,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установленного </w:t>
      </w:r>
      <w:r>
        <w:rPr>
          <w:rFonts w:ascii="Times New Roman" w:hAnsi="Times New Roman" w:cs="Times New Roman"/>
          <w:sz w:val="28"/>
          <w:szCs w:val="28"/>
        </w:rPr>
        <w:t xml:space="preserve">частью 1.1 статьи 41 Закона о</w:t>
      </w:r>
      <w:r>
        <w:rPr>
          <w:rFonts w:ascii="Times New Roman" w:hAnsi="Times New Roman" w:cs="Times New Roman"/>
          <w:sz w:val="28"/>
          <w:szCs w:val="28"/>
        </w:rPr>
        <w:t xml:space="preserve"> бюджетном процессе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не позднее 15 марта)</w:t>
      </w:r>
      <w:r>
        <w:rPr>
          <w:rFonts w:ascii="Times New Roman" w:hAnsi="Times New Roman" w:cs="Times New Roman"/>
          <w:sz w:val="28"/>
          <w:szCs w:val="28"/>
        </w:rPr>
        <w:t xml:space="preserve">, что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>
        <w:rPr>
          <w:rFonts w:ascii="Times New Roman" w:hAnsi="Times New Roman" w:cs="Times New Roman"/>
          <w:sz w:val="28"/>
          <w:szCs w:val="28"/>
        </w:rPr>
        <w:t xml:space="preserve">правонарушением, ответственность за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которое предусмотрена частью 1 статьи 15.15.6 «</w:t>
      </w:r>
      <w:r>
        <w:rPr>
          <w:rFonts w:ascii="Times New Roman" w:hAnsi="Times New Roman" w:cs="Times New Roman"/>
          <w:sz w:val="28"/>
          <w:szCs w:val="28"/>
        </w:rPr>
        <w:t xml:space="preserve">Нарушение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бюджетному (бухгалтерскому) учету, в том числе к составлению, представлению бюджетной, бухгалтерской (финансовой) отчетности» </w:t>
      </w:r>
      <w:r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обстоятельства послужили основанием для составления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отношении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должностных лиц Департамента сельского хозяйства 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продовольствия Чукотского автономного округа, Комитета государственного регулирования цен и тарифов Чукотского автономного округа и Департамента образования и науки Чукотского автономного округа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трех 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 правонарушении, предусмотренном </w:t>
      </w:r>
      <w:hyperlink r:id="rId24" w:tooltip="https://arbitr.garant.ru/document/redirect/12125267/151561" w:history="1">
        <w:r>
          <w:rPr>
            <w:rFonts w:ascii="Times New Roman" w:hAnsi="Times New Roman" w:cs="Times New Roman"/>
            <w:sz w:val="28"/>
            <w:szCs w:val="28"/>
          </w:rPr>
          <w:t xml:space="preserve">час</w:t>
        </w:r>
        <w:r>
          <w:rPr>
            <w:sz w:val="28"/>
            <w:szCs w:val="28"/>
          </w:rPr>
          <w:t xml:space="preserve">тью</w:t>
        </w:r>
        <w:r>
          <w:rPr>
            <w:sz w:val="28"/>
            <w:szCs w:val="28"/>
          </w:rPr>
          <w:t xml:space="preserve"> </w:t>
        </w:r>
        <w:r>
          <w:rPr>
            <w:sz w:val="28"/>
            <w:szCs w:val="28"/>
          </w:rPr>
          <w:t xml:space="preserve">1 статьи</w:t>
        </w:r>
        <w:r>
          <w:rPr>
            <w:sz w:val="28"/>
            <w:szCs w:val="28"/>
          </w:rPr>
          <w:t xml:space="preserve"> </w:t>
        </w:r>
        <w:r>
          <w:rPr>
            <w:sz w:val="28"/>
            <w:szCs w:val="28"/>
          </w:rPr>
          <w:t xml:space="preserve">15.15.6</w:t>
        </w:r>
      </w:hyperlink>
      <w:r>
        <w:rPr>
          <w:sz w:val="28"/>
          <w:szCs w:val="28"/>
        </w:rPr>
        <w:t xml:space="preserve"> Кодекса Российской Федерации об административных правонарушениях.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ротокол об административном правонарушении в отношении должностного лица Департамента природных ресурсов и экологии Чукотского автономного округа не составлен в связи с нахождением должностного лица в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отпуске, составление протокола планируется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осуществить после возвращения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должностного лица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к исполнению обязанностей.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подлеж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т возврату в окружной бюджет 3 709,0 тыс. рублей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- 625,3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sz w:val="28"/>
          <w:szCs w:val="28"/>
        </w:rPr>
        <w:t xml:space="preserve">документально неподтвержденных работ </w:t>
      </w:r>
      <w:r>
        <w:rPr>
          <w:rFonts w:ascii="Times New Roman" w:hAnsi="Times New Roman" w:cs="Times New Roman"/>
          <w:sz w:val="28"/>
          <w:szCs w:val="28"/>
        </w:rPr>
        <w:t xml:space="preserve">(работы, выполнение которых предусматривает наличие подтверждающих документов) </w:t>
      </w:r>
      <w:r>
        <w:rPr>
          <w:rFonts w:ascii="Times New Roman" w:hAnsi="Times New Roman" w:cs="Times New Roman"/>
          <w:sz w:val="28"/>
          <w:szCs w:val="28"/>
        </w:rPr>
        <w:t xml:space="preserve">при проведении текущих ремонтных работ</w:t>
      </w:r>
      <w:r>
        <w:rPr>
          <w:rFonts w:ascii="Times New Roman" w:hAnsi="Times New Roman" w:cs="Times New Roman"/>
          <w:sz w:val="28"/>
          <w:szCs w:val="28"/>
        </w:rPr>
        <w:t xml:space="preserve"> (Департамент физической культуры и спорта Чукотского автономного округа – 299,4 тыс. рублей и Департамент образования и науки Чукотского автономного округа – 325,9 тыс. рублей);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- 322,6 тыс. рублей – излишне уплаченные налоги и страховые взносы (Департамент природных ресурсов и экологии Чукотского автономного округа – 120,1 тыс. рублей 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Управление молодежной политики Чукотского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– 202,5 тыс. рублей);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- 2 761,1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работ по завышенной стоимости (неправомерное применение транспортной поправки) </w:t>
      </w:r>
      <w:r>
        <w:rPr>
          <w:rFonts w:ascii="Times New Roman" w:hAnsi="Times New Roman" w:cs="Times New Roman"/>
          <w:sz w:val="28"/>
          <w:szCs w:val="28"/>
        </w:rPr>
        <w:t xml:space="preserve">при проведении текущих ремонтных работ </w:t>
      </w:r>
      <w:r>
        <w:rPr>
          <w:rFonts w:ascii="Times New Roman" w:hAnsi="Times New Roman" w:cs="Times New Roman"/>
          <w:sz w:val="28"/>
          <w:szCs w:val="28"/>
        </w:rPr>
        <w:t xml:space="preserve">(Департамент образования и науки Чукотского автономного округа).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устранения указанных выше нарушений и недостатков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допущенных при исполнении окружного бюджета в 202</w:t>
      </w:r>
      <w:r>
        <w:rPr>
          <w:rFonts w:ascii="Times New Roman" w:hAnsi="Times New Roman" w:cs="Times New Roman"/>
          <w:bCs/>
          <w:sz w:val="28"/>
          <w:szCs w:val="28"/>
        </w:rPr>
        <w:t xml:space="preserve"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направлены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и информационные письма </w:t>
      </w:r>
      <w:r>
        <w:rPr>
          <w:rFonts w:ascii="Times New Roman" w:hAnsi="Times New Roman" w:cs="Times New Roman"/>
          <w:sz w:val="28"/>
          <w:szCs w:val="28"/>
        </w:rPr>
        <w:t xml:space="preserve">Счетной палаты Чукотского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адрес главных распорядителей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анализа государственных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Чукотского автономного округа </w:t>
      </w:r>
      <w:r>
        <w:rPr>
          <w:rFonts w:ascii="Times New Roman" w:hAnsi="Times New Roman" w:cs="Times New Roman"/>
          <w:sz w:val="28"/>
          <w:szCs w:val="28"/>
        </w:rPr>
        <w:t xml:space="preserve">установлено, что ответственные исполнители государственных программ округа: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не привели </w:t>
      </w:r>
      <w:r>
        <w:rPr>
          <w:rFonts w:ascii="Times New Roman" w:hAnsi="Times New Roman" w:cs="Times New Roman"/>
          <w:sz w:val="28"/>
          <w:szCs w:val="28"/>
        </w:rPr>
        <w:t xml:space="preserve">в соответствие национальным целям развития Российской Федерации на период до 2030 года и на перспективу до 2036 года, утвержденным Указом Президента Российской Федерации от 7 мая 2024 года № 309, с</w:t>
      </w:r>
      <w:r>
        <w:rPr>
          <w:rFonts w:ascii="Times New Roman" w:hAnsi="Times New Roman" w:cs="Times New Roman"/>
          <w:sz w:val="28"/>
          <w:szCs w:val="28"/>
        </w:rPr>
        <w:t xml:space="preserve">тратегические приоритеты и цели государственной политики в сфере реализации десяти государственных программ округа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132"/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,Bold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</w:t>
      </w:r>
      <w:r>
        <w:rPr>
          <w:rFonts w:ascii="Times New Roman" w:hAnsi="Times New Roman" w:cs="Times New Roman"/>
          <w:sz w:val="28"/>
          <w:szCs w:val="28"/>
        </w:rPr>
        <w:t xml:space="preserve">арушили</w:t>
      </w:r>
      <w:r>
        <w:rPr>
          <w:rFonts w:ascii="Times New Roman" w:hAnsi="Times New Roman" w:cs="Times New Roman"/>
          <w:sz w:val="28"/>
          <w:szCs w:val="28"/>
        </w:rPr>
        <w:t xml:space="preserve"> сроки, установленные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статьей 179 Бюджетного кодекса Российской Федерации, при приведении </w:t>
      </w:r>
      <w:r>
        <w:rPr>
          <w:rFonts w:ascii="Times New Roman" w:hAnsi="Times New Roman" w:eastAsia="Times New Roman,Bold" w:cs="Times New Roman"/>
          <w:bCs/>
          <w:sz w:val="28"/>
          <w:szCs w:val="28"/>
        </w:rPr>
        <w:t xml:space="preserve">государственных программ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округа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в соответствие закону об окружном бюджете на очередной финансовый год и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на плановый период (14 случаев нарушения сроков</w:t>
      </w:r>
      <w:r>
        <w:rPr>
          <w:rStyle w:val="4381"/>
          <w:rFonts w:ascii="Times New Roman" w:hAnsi="Times New Roman" w:eastAsia="Times New Roman,Bold" w:cs="Times New Roman"/>
          <w:sz w:val="28"/>
          <w:szCs w:val="28"/>
        </w:rPr>
        <w:footnoteReference w:id="133"/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,Bold" w:cs="Times New Roman"/>
          <w:sz w:val="28"/>
          <w:szCs w:val="28"/>
        </w:rPr>
      </w:r>
      <w:r>
        <w:rPr>
          <w:rFonts w:ascii="Times New Roman" w:hAnsi="Times New Roman" w:eastAsia="Times New Roman,Bold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 w:eastAsiaTheme="minorHAnsi"/>
          <w:sz w:val="28"/>
          <w:szCs w:val="28"/>
          <w:lang w:eastAsia="en-US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12. 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Представленный к внешней проверке отчет об исполнении окружного бюджета за 202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год сформирован с учетом требований нормативных правовых актов, регламентирующих порядок составления 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представления отчетности об исполнении бюджетов бюджетной системы Российской Федерации.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Показатели, отраженные в отчете, соответствуют показателям сводной бюджетной росписи окружного бюджета на 202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год. Отклонения показателей отчета от законодательно утвержденных назначений имеют объективный характер, их причины соответствуют основаниям, установленным бюджетным законодательством Российской Федерации.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pStyle w:val="4444"/>
        <w:ind w:firstLine="709"/>
        <w:jc w:val="both"/>
        <w:spacing w:before="0" w:beforeAutospacing="0" w:after="0" w:afterAutospacing="0" w:line="240" w:lineRule="auto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Показатели отчета подтверждаются данными годовой бюджетной 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отчетности главных администраторов бюджетных средств.</w:t>
      </w:r>
      <w:r>
        <w:rPr>
          <w:rFonts w:eastAsiaTheme="minorHAnsi"/>
          <w:color w:val="auto"/>
          <w:sz w:val="28"/>
          <w:szCs w:val="28"/>
          <w:lang w:eastAsia="en-US"/>
        </w:rPr>
      </w:r>
      <w:r>
        <w:rPr>
          <w:rFonts w:eastAsiaTheme="minorHAnsi"/>
          <w:color w:val="auto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тчет об исполнении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окружного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бюджета за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дает правдивое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достоверное во всех существенных отношениях представление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финансовом положении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автономного округа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состоянию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1 января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4403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Предложения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 результатам проведенного мероприятия Счетная палата Чукотского автономного округа предлагает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следующее: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органам исполнительной власти округа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принять меры по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устранению выявленных нарушений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недостатков,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отмеченных в данном Заключении;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Департамент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у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промышленной политики Чукотского автономного округа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совместно с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Департамент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строительства и жилищно-коммунального хозяйства Чукотского автономного округа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рассмотреть вопрос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о включении в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реестр незавершенных объектов капитального строительства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объектов недвижимого имущества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(м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ероприятиях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)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реализуемых в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соответствии с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концессионными соглашениями;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Департаменту экономики и инвестиций Чукотского автономного округа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совместно с Департаментом финансов и имущественных отношений Чукотского автономного округа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 ответственным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исполнителям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государственных программ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Чукотского автономного округа: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,Bold" w:cs="Times New Roman"/>
          <w:sz w:val="28"/>
          <w:szCs w:val="28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-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принять меры по соблюдению сроков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, установленных статьей 179 Бюджетного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кодекса Российской Федерации, при приведении </w:t>
      </w:r>
      <w:r>
        <w:rPr>
          <w:rFonts w:ascii="Times New Roman" w:hAnsi="Times New Roman" w:eastAsia="Times New Roman,Bold" w:cs="Times New Roman"/>
          <w:bCs/>
          <w:sz w:val="28"/>
          <w:szCs w:val="28"/>
        </w:rPr>
        <w:t xml:space="preserve">государственных программ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 в соответствие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закону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б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окружном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 бюджете на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очередной финансовый год и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плановый период</w:t>
      </w:r>
      <w:r>
        <w:rPr>
          <w:rFonts w:ascii="Times New Roman" w:hAnsi="Times New Roman" w:eastAsia="Times New Roman,Bold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,Bold" w:cs="Times New Roman"/>
          <w:sz w:val="28"/>
          <w:szCs w:val="28"/>
        </w:rPr>
      </w:r>
      <w:r>
        <w:rPr>
          <w:rFonts w:ascii="Times New Roman" w:hAnsi="Times New Roman" w:eastAsia="Times New Roman,Bold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 привести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соответствие национальным целям развития Российской Федерации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период до 2030 года и на перспективу до 2036 года, утвержденным Указом Президента Российской Федерации от 7 мая 2024 года № 309</w:t>
      </w:r>
      <w:r>
        <w:rPr>
          <w:rFonts w:ascii="Times New Roman" w:hAnsi="Times New Roman" w:cs="Times New Roman"/>
          <w:sz w:val="28"/>
          <w:szCs w:val="28"/>
        </w:rPr>
        <w:t xml:space="preserve">, с</w:t>
      </w:r>
      <w:r>
        <w:rPr>
          <w:rFonts w:ascii="Times New Roman" w:hAnsi="Times New Roman" w:cs="Times New Roman"/>
          <w:sz w:val="28"/>
          <w:szCs w:val="28"/>
        </w:rPr>
        <w:t xml:space="preserve">тратегические приоритеты и цели государственной политики в сфере реализации </w:t>
      </w:r>
      <w:r>
        <w:rPr>
          <w:rFonts w:ascii="Times New Roman" w:hAnsi="Times New Roman" w:cs="Times New Roman"/>
          <w:sz w:val="28"/>
          <w:szCs w:val="28"/>
        </w:rPr>
        <w:t xml:space="preserve">десяти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программ округа</w:t>
      </w:r>
      <w:r>
        <w:rPr>
          <w:rStyle w:val="4381"/>
          <w:rFonts w:ascii="Times New Roman" w:hAnsi="Times New Roman" w:cs="Times New Roman"/>
          <w:sz w:val="28"/>
          <w:szCs w:val="28"/>
        </w:rPr>
        <w:footnoteReference w:id="134"/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Аудитор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  <w:t xml:space="preserve">  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           И.В. Бондаренко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4518"/>
        <w:spacing w:before="0" w:beforeAutospacing="0" w:after="0" w:afterAutospacing="0" w:line="21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Заключение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1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Счетной палаты Чукотского автономного округа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1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проект закона Чукотского автономного округа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окружного бюджета за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1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 Коллегией Счетной палаты Чукотского автономного округа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before="0" w:beforeAutospacing="0" w:after="0" w:afterAutospacing="0" w:line="21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</w:t>
      </w:r>
      <w:r>
        <w:rPr>
          <w:rFonts w:ascii="Times New Roman" w:hAnsi="Times New Roman"/>
        </w:rPr>
        <w:t xml:space="preserve">протокол от </w:t>
      </w:r>
      <w:r>
        <w:rPr>
          <w:rFonts w:ascii="Times New Roman" w:hAnsi="Times New Roman"/>
        </w:rPr>
        <w:t xml:space="preserve">19</w:t>
      </w:r>
      <w:r>
        <w:rPr>
          <w:rFonts w:ascii="Times New Roman" w:hAnsi="Times New Roman"/>
        </w:rPr>
        <w:t xml:space="preserve"> мая 202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 xml:space="preserve">№</w:t>
      </w:r>
      <w:r>
        <w:rPr>
          <w:rFonts w:ascii="Times New Roman" w:hAnsi="Times New Roman"/>
        </w:rPr>
        <w:t xml:space="preserve"> 8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Заключение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Счетной палаты Чукотского автономного округа </w:t>
      </w:r>
      <w:bookmarkStart w:id="0" w:name="undefined"/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на проект Закона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Чукотского автономного округа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«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Об исполнении окружного бюджета за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20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год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</w:t>
      </w:r>
      <w:bookmarkEnd w:id="0"/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(далее –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Законопроект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)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подготовлено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руководствуясь статьей 157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Бюджетн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ого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кодекс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Российской Федерации,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пунктом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7 части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1 статьи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9 Федерального закона от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7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февраля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2011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№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6-ФЗ «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», статьей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 Закона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Чукотского автономного округа от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30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июня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1998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ода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№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36-ОЗ «О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Счетной палате Чукотского автономного округа»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В соответствии со статьей 264.4 Бюджетного кодекса Российской Федерации Счетной палатой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Чукотского автономного округа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проведены внешние проверки годового отчета об исполнении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окружного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бюджета 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годовой бюджетной отчетности за 202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год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в отношении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21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главн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ого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распорядител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я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бюджетных средств, главных администраторов доходов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окружного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бюджета и главных администраторов источников финансирования дефицита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окружного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бюджета (далее – главные администраторы бюджетных средств).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 результатам экспертизы Законопроекта установлено следующее.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Состав и содержание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представленного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Законопроект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соответствуют требованиям, установленным статьей 264.6 Бюджетного кодекса Российской Федерации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статьей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38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Закон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Чукотского автономного округа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br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от 24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мая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2002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года №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31-ОЗ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«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 бюджетном процессе в Чукотском автономном округе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».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Законопроектом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предлагается утвердить отчет об исполнении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окружного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бюджета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 доходам в сумме 68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312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731,1 тыс. рублей и расходам в сумме 68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482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811,4 тыс. рублей с превышением расходов над доходами (дефицит окружного бюджета) в сумме 170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080,3 тыс. рублей.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В структуре доходов окружного бюджета наибольший удельный вес составляют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налоговые доходы – 56,6 %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(38 688 712,0 тыс. рублей, из них налог на прибыль организаций – 14 406 906,3 тыс. рублей, налоги, сборы и регулярные платежи за пользование природными ресурсами – 12 180 636,9 тыс. рублей 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налог на доходы физических лиц – 9 080 508,1 тыс. рублей). Безвозмездные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поступления занимают 41,7 % (28 470 444,8 тыс. рублей, из них дотации 17 150 033,1 тыс. рублей). Неналоговые доходы составляют 1,7 % (1 153 574,3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тыс. рублей).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Расходы окружного бюджета составили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68 482 811,4 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ыс. рублей или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98,6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% плановых назначений, утвержденных Законом об окружном бюджете на 202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год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footnoteReference w:id="135"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69 453 286,1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тыс. рублей), 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98,7 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%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показателей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сводной бюджетной росписи (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69 382 771,1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тыс. рублей).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Основную долю в структуре расходов окружного бюджета традиционно составляют расходы по разделам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«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Жилищно-коммунальное хозяйство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 –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31 % (21 240 431,0 тыс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. рублей), «Национальная экономика» –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23,1 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% (15 795 079,5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тыс. рублей), «Образование» – 14,2 % (9 717 992,4 тыс. рублей), «Межбюджетные трансферты общего характера» – 8,6 % (5 914 379,0 тыс. рублей) и «Социальная политика» – 8,5 % (5 828 054,5 тыс. рублей).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кружной бюджет исполнен с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дефицитом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превышение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расходов над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доход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ами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составило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170 080,3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тыс. рублей при утвержденном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2 227 971,0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тыс. рублей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Государственный долг Чукотского автономного округа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 итогам 202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года составил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7 841 352,5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тыс. рублей, из него 56 970,0 тыс. рублей – обеспечение государственных гарантий.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Основные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характеристики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исполнения окружного бюджета, указанные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в статье 1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аконопроекта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соответствуют результатам проверки отчета об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исполнении окружного бюджета за 20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год и изложены в полном соответствии с абзацем 1 статьи 264.6 Бюджетного кодекса Российской Федерации.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Плановые и фактические показатели доходной и расходной частей окружного бюджета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аконопроекта соответствуют показателям доходов </w:t>
      </w:r>
      <w:bookmarkStart w:id="0" w:name="undefined"/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отчета об исполнении окружного бюджета за 202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год</w:t>
      </w:r>
      <w:bookmarkEnd w:id="0"/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в разрезе источников поступлений и расходов в разрезе главных распорядителей бюджетных средств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)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Отдельными приложениями к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Законопроекту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предлагается утвердить показатели: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доход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ов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окружного бюджета по кодам классификации доходов бюджетов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;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расходов окружного бюджета по ведомственной структуре расходов;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расходов окружного бюджета по разделам, подразделам, целевым статьям (государственным программам Чукотского автономного округа 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непрограммным направлениям деятельности), группам видов расходов классификации расходов;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расходов окружного бюджета по целевым статьям (государственным программам Чукотского автономного округа и непрограммным направлениям деятельности), группам видов расходов, разделам, подразделам классификации расходов;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государственной поддержки семьи и детей;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межбюджетных трансфертов, предоставляемых бюджетам муниципальных образований округа;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программ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ы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предоставления бюджетных кредитов;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программ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ы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государственных внутренних заимствований округа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;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программ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ы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государственных гарантий округа;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источников внутреннего финансирования дефицита окружного бюджета.</w:t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Перечень приложений к Законопроекту соответствует требованиям статьи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264.6 Бюджетного кодекса Российской Федерации.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оказател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Законопроекта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 доходам, расходам и источникам финансирования дефицита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окружного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бюджета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проанализирован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ы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с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учетом результатов внешней проверки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годовой бюджетной отчетности 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1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главн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ого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администратор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средств окружного бюджета и отчета об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исполнении окружного бюджета за 202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5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год, проведенных в соответствии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требованиями, установленными статьей 264.4 Бюджетного кодекса Российской Федерации.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Внесенный для рассмотрения Законопроект соответствует требованиям законодательства Российской Федерации 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Чукотского автономного округа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по</w:t>
      </w:r>
      <w:r>
        <w:rPr>
          <w:rFonts w:ascii="Times New Roman" w:hAnsi="Times New Roman" w:cs="Times New Roman" w:eastAsiaTheme="minorHAnsi"/>
          <w:sz w:val="28"/>
          <w:szCs w:val="28"/>
          <w:lang w:val="en-US"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составу и содержанию (включая представленные одновременно с ним документы и материалы)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сформирован на основании полученных от главных администраторов (администраторов) доходов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окружного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бюджета, главных администраторов (администраторов) источников финансирования дефицита бюджета, главных распорядителей (распорядителей) 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получателей средств окружного бюджета документов и материалов.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Ф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акты несоответствия п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оказателей Законопроекта и представленных одновременно с ним документов и материалов показателям годового отчета об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исполнении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окружного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бюджета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footnoteReference w:id="136"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и годовой бюджетной отчетности главных администраторов бюджетных средств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данным, полученным в ходе контрольных и экспертно-аналитических мероприятий, в том числе в ходе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внешней проверки годового отчета об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исполнении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окружного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бюджета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footnoteReference w:id="137"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за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отчетный финансовый год не установлены.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 результатам экспертизы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проекта Закона Чукотского автономного округа «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Об исполнении окружного бюджета за 2025 год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установлено, что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представленны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й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Законопроект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не противореч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т требованиям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бюджетного законодательства,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замечани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я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 предложени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я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отсутствуют.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bookmarkStart w:id="0" w:name="undefined"/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bookmarkEnd w:id="0"/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Аудитор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  <w:t xml:space="preserve">  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           И.В. Бондаренко</w:t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cs="Times New Roman"/>
          <w:sz w:val="28"/>
          <w:szCs w:val="28"/>
          <w:lang w:eastAsia="en-US"/>
          <w14:ligatures w14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</w:rPr>
      </w:r>
    </w:p>
    <w:p>
      <w:pPr>
        <w:pStyle w:val="4403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ОТЧЕТ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1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 результатах контрольного мероприятия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1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«</w:t>
      </w:r>
      <w:bookmarkStart w:id="0" w:name="undefined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Внешняя проверка бюджетной отчетности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главных администраторов средств окружного бюджета за 202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 год</w:t>
      </w:r>
      <w:bookmarkEnd w:id="0"/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before="0" w:beforeAutospacing="0" w:after="0" w:afterAutospacing="0"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утвержден Коллегией Счетной палаты Чукотского автономного округа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before="0" w:beforeAutospacing="0" w:after="0" w:afterAutospacing="0"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Основание для проведения контрольного мероприятия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right="-2" w:firstLine="709"/>
        <w:jc w:val="both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Пункт 1.1 Плана работы Счетной палаты Чукотского автономного округа на 2026 год, утвержденного решением Коллегии Счетной палаты Чукотского автономного округа (протокол от 26 декабря 2025 года № 31).</w:t>
      </w:r>
      <w:r>
        <w:rPr>
          <w:rFonts w:ascii="Times New Roman" w:hAnsi="Times New Roman" w:cs="Times New Roman"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Cs/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Предмет контрольного мероприятия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4507"/>
        <w:ind w:firstLine="709"/>
        <w:spacing w:before="0" w:beforeAutospacing="0" w:after="0" w:afterAutospacing="0" w:line="276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Деятельность главных администраторов бюджетных средств в процессе использования средств окружного бюджета, а также формирования, управления и распоряжения окружной собственностью.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Цель контрольного мероприятия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Оценить полноту и своевременность исполнения показателей окружного бюджета, соблюдение требований законодательства Российской Федерации и Чукотского автономного округа при исполнении окружного бюджета, достоверность учета и отчетности.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Вопросы контрольного мероприятия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4526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Организация ведения бюджетного учета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526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Проверка и анализ показателей исполнения бюджетных назначений.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526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 Проверка и анализ показателей годовой бухгалтерской отчетности.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526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 Организация и осуществление внутреннего финансового аудита.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Объекты контрольного мероприятия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 Департамент строительства и жилищно-коммунального хозяйства Чукотского автономного округа (далее – Департамент строительства);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 Департамент промышленной политики Чукотского автономного округа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Департамент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промышленной политики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 Департамент социальной политики Чукотского автономного округа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Департамент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социальной политики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 Департамент экономики и инвестиций Чукотского автономного округа (далее – Департамент экономики);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 Департамент финансов и имущественных отношений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финансов)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сельского хозяйства и продовольствия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Департамент сельского хозяйства)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 Департамент цифрового развития Чукотского автономного округа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Департамент цифрового развития);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Департамент здравоохранения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Департамент здравоохранения)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Аппарат Губернатора и Правительства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Аппарат Губернатора)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Счетная палата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Счетная палата)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Комитет государственного регулирования цен и тарифов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Комитет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регулирования цен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Избирательная комиссия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Избирательная комиссия)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Департамент физической культуры и спорта Чукотского автономного округа (далее – Департамент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спорта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Дума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Дума)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Департамент природных ресурсов и экологии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Департамент природных ресурсов)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Департамент культуры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туризма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Департамент культуры)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Департамент образования и науки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образования)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Управление по обеспечению деятельности мировых судей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юридических консультаций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Управление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обеспечению деятельности мировых судей)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Комитет по охране объектов культурного наследия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Комитет по охране объектов культурного наследия)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Управление молодежной политики Чукотского автономного округа (далее – Управление молодежной политики);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гражданской защиты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противопожарной службы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Чукотского автономного округа (далее – Департамент гражданской защиты).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Проверяемый период деятельности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: 202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Сроки проведения контрольного мероприятия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16 марта 2026 года по 29 апреля 2026 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403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Краткая характеристика проверяемой сферы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  <w:t xml:space="preserve">и деятельности объектов проверки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Внешняя проверка бюджетной отчетности главных распорядителей бюджетных средств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 проведена в соответствии со стать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264.4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Бюджетного кодекса Российской Федерации (далее – Бюджетный кодекс)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статьей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41 Закона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бюджетном процессе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3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Органы государственной власти Чукотского автономного округа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определены статьей 11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Чукотского автономного округа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3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(Губернатор Чукотского автономного округа – высшее должностное лицо Чукотского автономного округа, Дума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законодательный орган Чукотского автономного округа, Правительство Чукотского автономного округа – высший исполнительный орган Чукотского автономного округа,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иные органы государственной власти Чукотского автономного округа, образуемые в соответствии с Уставом).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Федеральным законом от 21 декабря 2021 года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414-ФЗ «Об общих принципах организации публичной власти в субъектах Российской Федерации» и Уставом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Постановлением Губернатора Чукотского автономного округа от 26 сентября 2022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305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0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определена система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структура органов исполнительной власти Чукотского автономного округа.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систему органов исполнительной власти Чукотского автономного округа входят: Губернатор Чукотского автономного округа, Правительство Чукотского автономного округа, центральные исполнительные органы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епартамент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Аппарат Губернатора и иные исполнительные органы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управления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комитет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проверяемом периоде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труктура исполнительных органов государственной власти Чукотского автономного округа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реализующ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территории Чукотского автономного округа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(Правительство Чукотского автономного округа,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Аппарат Губернатора,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тринадцать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отраслевых департаментов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два комитета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9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Дума является постоянно действующим высшим и единственным органом законодательной власти Чукотского автономного округа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77"/>
        <w:ind w:firstLine="709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Счетная палата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постоянно действующи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 внешнего государственного финансового контроля, образован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Думой Чукотского автономного округа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Избирательная комиссия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обеспечивающий на территории Чукотского автономного округа подготовку и проведение выборов и референдумов в территориальных, муниципальных и участковых избирательных комиссиях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едомственной структурой расходов окружного бюджета на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Законом Чукотского автономного округа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4 декабря 2024 года № 64-ОЗ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«Об окружном бюджете на 202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год и на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плановый период 202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202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годов»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Закон об окружном бюджете),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бюджетные ассигнования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предусмотрен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распорядител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бюджетных средств.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Руководствуясь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статьей 38.1 Бюджетного кодекса, в целях соблюдения принципа подведомственности расходов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окружного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бюджета, утвержден перечень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государственных учреждений и государственных предприятий округа, находящихся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ведомственном подчинении органов государственной власти Чукотского автономного округа.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указанном выше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перечне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отражено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учреждени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казенных,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восемь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автономных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государственн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ходе внешней проверки бюджетной отчетности проверены своеврем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енность, достоверность, полнота и соответствие нормативным требованиям составления и представления бюджетной отчетности, внутренняя согласованность форм отчетности, соответствие плановых показателей бюджетной отчетности показателям, утвержденным Законом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окружном бюджете, соблюдение положений бюджетного законодательства и иных законодательных и нормативных правовых актов Российской Федерации, Чукотского автономного округа при исполнении Закона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окружном бюджете на 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/>
        <w:widowControl w:val="off"/>
        <w:rPr>
          <w:rFonts w:ascii="Times New Roman" w:hAnsi="Times New Roman" w:cs="Times New Roman"/>
          <w:b/>
          <w:color w:val="00000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en-US"/>
        </w:rPr>
        <w:t xml:space="preserve">1. 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en-US"/>
        </w:rPr>
        <w:t xml:space="preserve">Организация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en-US"/>
        </w:rPr>
        <w:br/>
        <w:t xml:space="preserve">ведения бюджетного у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en-US"/>
        </w:rPr>
        <w:t xml:space="preserve">чета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en-US"/>
        </w:rPr>
        <w:t xml:space="preserve"> </w:t>
      </w:r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бухгалтерский учет осуществлялся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главными распорядителями бюджетных средств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соответствии с Федеральным законом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бухгалтерском учете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4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приказами Министерства финансов Российской Федерации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50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При ведении бюджетного учета и составлении бюджетной отчетности использовал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программны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комплексы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«1С: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Предприятие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«Свод-Смарт»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Представленная бюджетная отчетность за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 главных распорядителей бюджетных средств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оответствует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требованиям Инструкции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191н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5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составе бюджетной отчетности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главных распорядителей бюджетных средств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представлена отчетность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распорядителей бюджетных средств (казенных учреждений)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находящ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ведомственном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подчинении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органов власти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внешней проверки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бюджетной отчетности главных распорядителей бюджетных средств представлена отчетность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бюджетных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автономных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учреждений,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в отношени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которых главные распорядители бюджетных средств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осуществляют функции и полномочия учредителя,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подготовленная в соответствии с Инструкцией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33н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5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Бюджетная отчетность составлена в соответствии со структурой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перечнем кодов бюджетной классификации, которые применялись при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утверждении Закона об окружном бюджете и его исполнении.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Показатели представленных форм взаимоувязаны, расхождения не установлены.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Фактов, способных оказать влияние на недостоверность информации об активах, и (или) обязательствах, и (или) о финансовом результате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главных распорядителей средств окружного бюджета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показателях годовой бюджетной отчетности не выявлен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Бюджетная отчетность обеспечивает представление о финансовом положении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главных распорядителей средств окружного бюджета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состоянию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января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года.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юджетная отчетность за 2025 год четырех главных администраторов средств окружного бюджета (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 сельского хозяйства, Комитет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цен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 природных ресурсов и Департамент образования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) представлена с нарушением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срока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установленного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частью 1.1 статьи 41 Закона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бюджетном процессе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позднее 15 марта)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 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de9d9" w:themeFill="accent6" w:themeFillTint="33"/>
        </w:rPr>
        <w:t xml:space="preserve">административным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правонарушением, ответственность за которое предусмотрена частью 1 статьи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15.15.6 «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Нарушение требований к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бюджетному (бухгалтерскому) учету, в том числе к составлению, представлению бюджетной, бухгалтерской (финансовой) отчетности»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Кодекса Российской Федерации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административных правонарушениях.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Указанные обстоятельства послужили основанием для составления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отношении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должностных лиц Департамента сельского хозяйства, Комитета цен и Департамента образования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трех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протокол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административном правонарушении, предусмотренном </w:t>
      </w:r>
      <w:hyperlink r:id="rId25" w:tooltip="https://arbitr.garant.ru/document/redirect/12125267/151561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частью</w:t>
        </w:r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 </w:t>
        </w:r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1 статьи</w:t>
        </w:r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 </w:t>
        </w:r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15.15.6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Кодекса Российской Федерации об административных правонарушениях.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ротокол об административном правонарушении в отношении должностного лица Департамента природных ресурсов не составлен в связи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нахождением должностного лица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отпуске, составление протокола планируется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осуществить после возвращения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должностного лица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en-US"/>
        </w:rPr>
        <w:t xml:space="preserve">исполнению обязанностей.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4403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Проверка и анализ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показателей исполнения бюджетных назначений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Законом об окружном бюджете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en-US"/>
        </w:rPr>
        <w:footnoteReference w:id="153"/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 редакции от 19 ноября 2025 года № 86-ОЗ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) главным распорядителям бюджетных средств на выполнение установленных функций в отчетном периоде предусмотрено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69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453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286,1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тыс. рублей,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что превышает первоначально утвержденные бюджетные ассигнования на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8 499 172,8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тыс. рублей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954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113,3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тыс. рублей).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 проверяемом периоде исполнение окружного бюджета осуществлялось на основе сводной бюджетной росписи и кассового плана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en-US"/>
        </w:rPr>
        <w:footnoteReference w:id="154"/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Бюджетные ассигнования в представленной к проверке отчетности соответствуют показателям, отраженным в сводной бюджетной росписи от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декабря 202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года, и составляют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69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382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771,1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тыс. рублей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при этом на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70 515,0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тыс. рублей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меньше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объема расходов, утвержденного Законом об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окружном бюджете.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асхождение плановых назначений связано с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распределением зарезервированных Законом об окружном бюджете ассигнований (статья 12), межбюджетных трансфертов из федерального бюджета и средств резервного фонда Правительства Чукотского автономного округа, что не противоречит бюджетному законодательству.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об исполнении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окружного бюджета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расходам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разрезе главных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распорядителей бюджетных средств представлена в таблице №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(тыс. рублей)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4117"/>
        <w:gridCol w:w="1559"/>
        <w:gridCol w:w="1276"/>
        <w:gridCol w:w="1276"/>
        <w:gridCol w:w="1272"/>
      </w:tblGrid>
      <w:tr>
        <w:tblPrEx/>
        <w:trPr>
          <w:jc w:val="center"/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главного распорядителя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бюджетных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Утверждено (СБР)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Исполнено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Отклонение (гр.3-гр.2)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ind w:right="-107"/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Уровень исполнения, %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Расходы бюджета – всего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69 382 771,1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68 482 811,4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-899 959,7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98,7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строительства </w:t>
            </w:r>
            <w:bookmarkStart w:id="0" w:name="undefined"/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 жилищно-коммунального хозяйства</w:t>
            </w:r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 (901)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24 019 204,3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23 541 103,8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-478 100,5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98,0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промышленной политики (902)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7 286 560,7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7 176 379,0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-110 181,7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98,5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социальной политики (903)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5 301 491,5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5 268 549,9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-32 941,6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экономики и инвестиций (904)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508 810,8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499 972,2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-8 838,6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98,3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финансов и имущественных отношений (905)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6 332 592,8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6 267 939,0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-64 653,8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сельского хозяйства и продовольствия (906)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4 029 010,3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4 028 870,3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-140,0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цифрового развития (907)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563 594,1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562 669,7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-924,4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здравоохранения (909)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4 487 561,1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4 467 505,6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-20 055,5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Аппарат Губернатора и Правительства (910)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2 129 288,4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2 122 064,1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-7 224,3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Счетная палата (911)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147 403,9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147 182,7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-221,2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Комитет регулирования цен (912)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67 661,2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67 515,0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-146,2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Избирательная комиссия (913)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163 074,8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162 975,9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-98,9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физической культуры и спорта (914)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763 274,5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755 220,1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-8 054,4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98,9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Дума (915)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303 683,3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302 398,1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-1 285,2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природных ресурсов и экологии (916)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1 139 100,1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1 137 029,3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-2 070,8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культуры и туризма (917)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1 137 968,9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1 132 430,9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-5 538,0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Департамент образования и науки (918)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9 562 288,9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9 440 202,0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-122 086,9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98,7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Управлени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 по обеспечению деятельности мировых судей и юридических консультаций, организации деятельности ЗАГС и архивов (919)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206 968,6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203 473,2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-3 495,4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98,3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Комитет по охране объектов культурного наследия (920)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43 741,5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43 716,2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-25,3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99,9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Управление молодежной политики (921)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114 899,8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105 127,9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-9 771,9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91,5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7" w:type="dxa"/>
            <w:textDirection w:val="lrTb"/>
            <w:noWrap w:val="false"/>
          </w:tcPr>
          <w:p>
            <w:pPr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Департамент гражданской защиты и противопожарной службы (922)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1 074 591,6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1 050 486,5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-24 105,1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97,8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Расходы главных распорядителей в отчетном периоде составили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68 482 811,4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98,7 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плановых назначений, утвержденных сводной бюджетной росписью.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Основную долю окружного бюджета занимают расходы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главных распорядителей: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Департамента строительства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34,5 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Департамента промышленной политики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10,5 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3,8 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Удельный вес в общем объеме расходов окружного бюджета остальных главных распорядителей составляет менее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В ходе проверки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бюджетной отчетности главных администраторов средств окружного бюджета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учреждений</w:t>
      </w:r>
      <w:r>
        <w:rPr>
          <w:rFonts w:ascii="Times New Roman" w:hAnsi="Times New Roman" w:eastAsia="Times New Roman" w:cs="Times New Roman"/>
          <w:sz w:val="28"/>
          <w:szCs w:val="28"/>
        </w:rPr>
        <w:footnoteReference w:id="15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отношении которых главные распорядители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осуществляют функции и полномочия учредителя,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части исполнения окружного бюджета установлено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процедурных нарушений, не имеющих финансовой оценки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163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нарушени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финансовая оценка которых 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975,3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Cs/>
          <w:sz w:val="28"/>
          <w:szCs w:val="28"/>
          <w14:ligatures w14:val="none"/>
        </w:rPr>
      </w:r>
    </w:p>
    <w:p>
      <w:pPr>
        <w:pStyle w:val="4386"/>
        <w:numPr>
          <w:ilvl w:val="0"/>
          <w:numId w:val="30"/>
        </w:numPr>
        <w:ind w:left="0" w:firstLine="709"/>
        <w:jc w:val="both"/>
        <w:spacing w:before="0" w:beforeAutospacing="0" w:after="0" w:afterAutospacing="0"/>
        <w:tabs>
          <w:tab w:val="left" w:pos="993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нарушения, не имеющие финансовой оценки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случаев)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, в том числе: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- 22 случая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ненадлежаще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бюджетных полномочий главного администратора (администратора) доходов бюджета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промышленной политики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(1 ед.),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сельского хозяйства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(1 ед.), Комит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регулирования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 (1 ед.), Департамент природных ресурсов (2 ед.), Департамент образования (4 ед.),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по обеспечению деятельности мировых судей (1 ед.)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молодежной политики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ед.)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гражданской защиты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(11 ед.);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- 13 случаев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ненадлежаще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бюджетных полномочий главного распорядителя (распорядителя) бюджетных средств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промышленной политики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(5 ед.),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спорта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(1 ед.) и Департамент образования (7 ед.);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- 5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арушени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 осуществлении государственных закупок и закупок отдельными видами юридических лиц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Департамент гражданской защиты (1 ед.)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промышленной политики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(4 ед.);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- 3 нарушения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порядка определения объема и (или) условий предост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авления из бюджета субсидий иным некоммерческим организациям, не являющимся государственными (муниципальными) учреждениями, государственными корпорациями (компаниями) и публично-правовыми компаниями, и (или) соглашения (договора) о предоставлении субсидии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по обеспечению деятельности мировых судей (1 ед.)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молодежной политики (2 ед.);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 нарушение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порядка формирования и (или) финансового обеспечения выполнения государственного (муниципального) задания на оказание государственных (муниципальных) услуг (выполнение работ)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природных ресурсов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 нарушение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порядка обеспечения открытости и доступности сведений, содержащихся в документах, равно как и самих документов государственных (муниципальных) учреждений путем размещения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официальном сайте в информационно-телекоммуникационной сети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Интернет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или средствах массовой информации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промышленной политики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30"/>
        </w:numPr>
        <w:ind w:left="0" w:firstLine="709"/>
        <w:jc w:val="both"/>
        <w:spacing w:before="0" w:beforeAutospacing="0" w:after="0" w:afterAutospacing="0"/>
        <w:tabs>
          <w:tab w:val="left" w:pos="993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нарушени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, финансовая оценка которых составила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22 975,3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 тыс. рублей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63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ед.)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 том числе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- 485,7 тыс. рублей – 6 нарушений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порядка учета бюджетных и (или) денежных обязательств получателями бюджетных средств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социальной политики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365,6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Департамент природных ресурсов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120,1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- 64,8 тыс. рублей – 2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арушени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порядка и условий оплаты труда сотрудников государственных органов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(Департамент промышленной политики);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629,6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86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случаев ненадлежащего осуществления бюджетных полномочий главного распорядителя бюджетных средств (Департамент строительства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110,3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Департамент промышленной политики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4,4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епартамент сельского хозяйства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здравоохранения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3 536,8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рублей, Департамент природных ресурсов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681,0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рублей, Департамент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50,1 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Департамент гражданской защиты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247,0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10 748,3 тыс. рублей – 49 случаев ненадлежащего осуществления бюджетных полномочий главного администратора (администратора) доходов бюджета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непринятие мер к взысканию дебиторской задолженности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(Департамент здравоохранения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48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10 545,8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Управление молодежной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политики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202,5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642,0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8 случаев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ненадлежаще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бюджетных полномочий получателя бюджетных средств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(Департамент строительства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723,9 тыс. рублей, Департамент социальной политики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210,0 тыс. рублей, Департамент сельского хозяйства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559,9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рублей, Департамент природных ресурсов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560,0 тыс. рублей, Департамент культуры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1 586,7 тыс. рублей и Департамент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 ед.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1,5 тыс. рублей);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3 404,9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нарушений при осуществлении государственных и муниципальных закупок и закупок отдельными видами юридических лиц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документально неподтвержденных работ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(работы, выполнение которых предусматривает наличие подтверждающих документов)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 проведении текущих ремонтных работ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 по завышенной стоимости (неправомерное применение транспортной поправки)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 проведении текущих ремонтных работ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(Департамент 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ед. – 3 104,0 тыс. рублей, Департамент спорта (1 ед.) – 300,9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ходе проверки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установлено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финансовых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хозяйственных операций, в результате которых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средства окружного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израсходованы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неэффективно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9 141,5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избыточные расходы – 2 002,6 тыс. рублей (26 случаев)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оплата штрафных санкций, возмещение ущерба, судебных расходов, исполнительского сбора за неисполнение (ненадлежащее исполнение) обязательств,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оплата ежегодных отпусков за неотработанный период, из них: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1 123,2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– Департамент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гражданской защиты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560,0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Департамент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природных ресурсов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безрезультатные расходы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1 647 138,9 тыс. рублей (51 случай)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 них: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1 183 990,7 тыс. рублей – при строительстве пяти объектов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5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перечислены авансы, предусмотренные государственными контрактами. Подрядчиками работы не выполнены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 привело к расторжению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контрактов.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авансов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подлежат возврату в окружной бюджет (Департамент строительства);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57 611,0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комплект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спортивно-технологического оборудования (</w:t>
      </w:r>
      <w:r>
        <w:rPr>
          <w:rFonts w:ascii="Times New Roman" w:hAnsi="Times New Roman" w:eastAsia="Times New Roman" w:cs="Times New Roman" w:eastAsiaTheme="minorHAnsi"/>
          <w:sz w:val="28"/>
          <w:szCs w:val="28"/>
        </w:rPr>
        <w:t xml:space="preserve">«умных» спортивных площадок) </w:t>
      </w:r>
      <w:r>
        <w:rPr>
          <w:rFonts w:ascii="Times New Roman" w:hAnsi="Times New Roman" w:eastAsia="Times New Roman" w:cs="Times New Roman" w:eastAsiaTheme="minorHAnsi"/>
          <w:sz w:val="28"/>
          <w:szCs w:val="28"/>
        </w:rPr>
        <w:t xml:space="preserve">не устан</w:t>
      </w:r>
      <w:r>
        <w:rPr>
          <w:rFonts w:ascii="Times New Roman" w:hAnsi="Times New Roman" w:eastAsia="Times New Roman" w:cs="Times New Roman" w:eastAsiaTheme="minorHAnsi"/>
          <w:sz w:val="28"/>
          <w:szCs w:val="28"/>
        </w:rPr>
        <w:t xml:space="preserve">овлены, информация о сроках проведения монтажа и установки отсутствует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(Департамент спорта)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результатам контрольного мероприятия подлеж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возврату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окружной бюджет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3 709,0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625,3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документально неподтвержденных работ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(работы, выполнение которых предусматривает наличие подтверждающих документов)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 проведении текущих ремонтных работ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(Департамент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спорта – 299,4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Департамент образования – 325,9 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322,6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излишне уплаченные налоги и страховые взносы (Департамент природных ресурсов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120,1 тыс. рублей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молодежной политики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202,5 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761,1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 по завышенной стоимости (неправомерное применение транспортной поправки)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 проведении текущих ремонтных работ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(Департамент образования)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403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Проверка и анализ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показателей годовой бухгалтерской отчетности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ходе проверки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показателей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годовой 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ухгалтерской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отчетности выявлено, что главными распорядителями средств окружного бюджета допускались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нарушения единых требований к бюджетному (бухгалтерскому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учету,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том числе бюджетной, бухгалтерской (финансовой) отчетности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не имеющих финансовой оценки (Департамент социальной политики (1 ед.), Департамент природных ресурсов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ед.), и одно нарушение, финансовая оценка которого составила 281,3 тыс. рублей (Департамент здравоохранения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403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осуществление внутреннего финансового аудита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По результатам проверки организации и осуществлени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внутреннего финансового аудита установлено, 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нарушени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требований статьи 160.2-1 Бюджетного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кодекса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шесть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распорядителей средств окружного бюджета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проведение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внутренн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аудит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промышленной политики, Департамент социальной политики, Департамент здравоохранения, Аппарат Губернатора,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культуры, Департамент 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403"/>
        <w:ind w:hanging="142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Возражения или замечания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руководителей объектов контрольного мероприятия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результатам контрольного мероприятия составлен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 них 20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одписан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без разногласий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бъекты контроля с нарушениями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недостатками, отраженными в актах, согласны)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14:ligatures w14:val="none"/>
        </w:rPr>
      </w:r>
      <w:r>
        <w:rPr>
          <w:rFonts w:ascii="Times New Roman" w:hAnsi="Times New Roman" w:eastAsia="Times New Roman" w:cs="Times New Roman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апреля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 2026-1.1/11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 – Департамент строительства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жилищно-коммунального хозяйства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промышленной политики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Департамент социальной политики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экономики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инвестиций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Департамент финансов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имущественных отношений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Департамент сельского хозяйства и продовольствия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Департамент цифрового развития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здравоохранения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Аппарат Губернатора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Правительства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Счетная палата Чукотского автономного округа;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Комитет государственного регулирования цен и тарифов Чукотского автономного округа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Избирательная комиссия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Департамент физической культуры и спорта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Дума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культуры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туризма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образования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науки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по обеспечению деятельности мировых судей и юридических консультаций, организации деятельности ЗАГС и архивов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Комитет по охране объектов культурного наследия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2026-1.1/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молодежной политики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 апреля 2026 года № 2026-1.1/31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гражданской защиты Чукотского автономного округа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Департаментом природных ресурсов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экологии Чукотского автономного округа представлены разногласия по акту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апреля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 года № 2026-1.1/25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редставленные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амечания (пояснения) не повлияли на выводы, отраженные в актах.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4403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Выводы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1. Внешняя проверка годовой бюджетной отчетности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главн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распорядите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бюджетных средств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 проведена в соответствии со статьей 264.4 Бюджетного кодекса и статьей 41 Закона о бюджетном процессе.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Представленная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годовая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бюджетная отчетность по составу соответствует требованиям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действующего законодательства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обеспечивает представление о финансовом положении главных распорядителей средств окружного бюджета по состоянию на 1 января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 В ходе проверки бюджетной отчетности главных администраторов средств окружного бюджета за 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год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выявлено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 процедурных нарушений, не имеющих финансовой оценки, и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164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нарушени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финансовая оценка которых 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23 256,6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- нарушения при исполнении бюджетов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нарушений,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имеющи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финансовой оценки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151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финансовая оценка котор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19 570,4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арушения установленных единых требований к бюджетному (бухгалтерскому) учету, в том числе бюджетной, бухгалтерской (финансовой) отчетности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случаев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не имеющих финансовой оценки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5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нарушени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финансовая оценка котор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составила 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81,3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арушения при осуществлении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государственных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закупок и закупок отдельными видами юридических лиц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случая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имеющ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финансовой оценки,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финансовая оценка которых 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3 404,9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рублей;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нарушения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осуществлении внутреннего финансового аудита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единиц;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прочие нарушения – одно нарушение, не имеющее финансовой оценки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установлено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финансовых и хозяйственных операций,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результате которых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средства окружного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израсходованы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неэффективно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сумме 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9 141,5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избыточные расходы – 2 002,6 тыс. рублей (26 случаев)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оплата штрафных санкций, возмещение ущерба, судебных расходов, исполнительского сбора за неисполнение (ненадлежащее исполнение) обязательств,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оплата ежегодных отпусков за неотработанный период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безрезультатные расходы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1 647 138,9 тыс. рублей (51 случай)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строительстве пяти объектов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5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подрядчиками работы не выполнены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привело к расторжению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контрактов,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авансов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подлежат возврату в окружной бюджет, спортивно-технологическое оборудование (</w:t>
      </w:r>
      <w:r>
        <w:rPr>
          <w:rFonts w:ascii="Times New Roman" w:hAnsi="Times New Roman" w:eastAsia="Times New Roman" w:cs="Times New Roman" w:eastAsiaTheme="minorHAnsi"/>
          <w:sz w:val="28"/>
          <w:szCs w:val="28"/>
        </w:rPr>
        <w:t xml:space="preserve">«умные» спортивные площадки) не установлены.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контрольного мероприятия бюджетная отчетность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 2025 год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четырех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главных администраторов средств окружного бюджета (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 сельского хозяйства и продовольствия Чукотского автономного округа, Комитет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государственного регулирования цен и тарифов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 природных ресурсов и экологии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и Департамент образования и науки Чукотского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автономного округа) представлена с нарушением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срока,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установленного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частью 1.1 статьи 41 Закона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бюджетном процессе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позднее 15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марта)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shd w:val="clear" w:color="auto" w:fill="fde9d9" w:themeFill="accent6" w:themeFillTint="33"/>
        </w:rPr>
        <w:t xml:space="preserve">административным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правонарушением, ответственность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которое предусмотрена частью 1 статьи 15.15.6 «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Нарушение требований к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бюджетному (бухгалтерскому) учету, в том числе к составлению, представлению бюджетной, бухгалтерской (финансовой) отчетности»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602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Указанные обстоятельства послужили основанием для составления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отношении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должностных лиц Департамента сельского хозяйства 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продовольствия Чукотского автономного округа, Комитета государственного регулирования цен и тарифов Чукотского автономного округа и Департамента образования и науки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трех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административном правонарушении, предусмотренном </w:t>
      </w:r>
      <w:hyperlink r:id="rId26" w:tooltip="https://arbitr.garant.ru/document/redirect/12125267/151561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частью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 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1 статьи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 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15.15.6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ротокол об административном правонарушении в отношении должностного лица Департамента природных ресурсов и экологии Чукотского автономного округа не составлен в связи с нахождением должностного лица в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отпуске, составление протокола планируется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осуществить после возвращения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должностного лица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к исполнению обязанностей.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результатам контрольного мероприятия подлеж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возврату в окружной бюджет 3 709,0 тыс. рублей,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- 625,3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оплата документально неподтвержденных работ (работы, выполнение которых предусматривает наличие подтверждающих документов) при проведении текущих ремонтных работ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(Департамент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физической культуры и спорта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299,4 тыс. рублей и Департамент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образования и науки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325,9 тыс. рублей);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- 322,6 тыс. рублей – излишне уплаченные налоги и страховые взносы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 природных ресурсов и экологии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120,1 тыс. рублей 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Управление молодежной политики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202,5 тыс. рублей);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- 2 761,1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 по завышенной стоимости (неправомерное применение транспортной поправки)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 проведении текущих ремонтных работ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(Департамент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образования и науки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403"/>
        <w:jc w:val="center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Предложения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 целью устранени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выявленных нарушений и недостатков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допущенных при исполнении окружного бюджета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bCs/>
          <w:i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bCs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направить представления Счетной палаты Чукотского автономного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округа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руководителям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Департамента строительства и жилищно-коммунального хозяйства Чукотского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Департамента промышленной политики Чукотского автономного округа;</w:t>
      </w:r>
      <w:r>
        <w:rPr>
          <w:rFonts w:ascii="Times New Roman" w:hAnsi="Times New Roman" w:eastAsia="Times New Roman" w:cs="Times New Roman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здравоохранения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физической культуры и спорта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природных ресурсов и экологии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образования и науки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Управлени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молодежной политики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 гражданской защиты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bCs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направить информационные письма Счетной палаты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руководител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ям</w:t>
      </w:r>
      <w:r>
        <w:rPr>
          <w:rFonts w:ascii="Times New Roman" w:hAnsi="Times New Roman" w:eastAsia="Times New Roman" w:cs="Times New Roman"/>
          <w:bCs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bCs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Департамента социальной политики Чукотского автономного округа;</w:t>
      </w:r>
      <w:r>
        <w:rPr>
          <w:rFonts w:ascii="Times New Roman" w:hAnsi="Times New Roman" w:eastAsia="Times New Roman" w:cs="Times New Roman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Департамента сельского хозяйства и продовольствия Чукотского автономного округа;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Департамент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культуры и туризма Чукотского автономного округа;</w:t>
      </w:r>
      <w:r>
        <w:rPr>
          <w:rFonts w:ascii="Times New Roman" w:hAnsi="Times New Roman" w:eastAsia="Times New Roman" w:cs="Times New Roman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Управлени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по обеспечению деятельности мировых судей 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юридических консультаций, организации деятельности ЗАГС и архивов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. Учесть результаты проверки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при подготовке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Заключени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Счетной палаты Чукотского автономного округа на отчет об исполнении окружного бюджета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202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год.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.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Отчет о результатах внешней проверки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бюджетной отчетности главных администраторов средств окружного бюджета за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202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год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направить в Думу и Губернатор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Чукотского автономного округа.</w:t>
      </w:r>
      <w:bookmarkEnd w:id="0"/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  <w14:ligatures w14:val="none"/>
        </w:rPr>
      </w:r>
    </w:p>
    <w:p>
      <w:pPr>
        <w:ind w:firstLine="709"/>
        <w:jc w:val="both"/>
        <w:spacing w:before="0" w:beforeAutospacing="0" w:after="0" w:afterAutospacing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Заключение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441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экспертно-аналитического мероприятия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441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bookmarkStart w:id="0" w:name="undefined"/>
      <w:r>
        <w:rPr>
          <w:rFonts w:ascii="Times New Roman" w:hAnsi="Times New Roman" w:cs="Times New Roman"/>
          <w:b/>
          <w:sz w:val="28"/>
          <w:szCs w:val="28"/>
        </w:rPr>
        <w:t xml:space="preserve">Оперативный контроль исполнения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З</w:t>
      </w:r>
      <w:r>
        <w:rPr>
          <w:rFonts w:ascii="Times New Roman" w:hAnsi="Times New Roman" w:cs="Times New Roman"/>
          <w:b/>
          <w:sz w:val="28"/>
          <w:szCs w:val="28"/>
        </w:rPr>
        <w:t xml:space="preserve">акона Чукотского автономного округа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Об окружном бюджете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 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плановый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4415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sz w:val="28"/>
          <w:szCs w:val="28"/>
        </w:rPr>
        <w:t xml:space="preserve">7</w:t>
      </w:r>
      <w:r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z w:val="28"/>
          <w:szCs w:val="28"/>
        </w:rPr>
        <w:t xml:space="preserve"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</w:t>
      </w:r>
      <w:r>
        <w:rPr>
          <w:rFonts w:ascii="Times New Roman" w:hAnsi="Times New Roman" w:cs="Times New Roman"/>
          <w:b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bookmarkEnd w:id="0"/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</w:pPr>
      <w:r>
        <w:t xml:space="preserve">Утверждено Коллегией Счетной палаты Чукотского автономного округа</w:t>
      </w:r>
      <w:r/>
    </w:p>
    <w:p>
      <w:pPr>
        <w:jc w:val="center"/>
        <w:spacing w:before="0" w:beforeAutospacing="0" w:after="0" w:afterAutospacing="0" w:line="240" w:lineRule="auto"/>
      </w:pPr>
      <w:r>
        <w:t xml:space="preserve">(протокол от</w:t>
      </w:r>
      <w:r>
        <w:t xml:space="preserve"> </w:t>
      </w:r>
      <w:r>
        <w:t xml:space="preserve">27</w:t>
      </w:r>
      <w:r>
        <w:t xml:space="preserve"> мая </w:t>
      </w:r>
      <w:r>
        <w:t xml:space="preserve">202</w:t>
      </w:r>
      <w:r>
        <w:t xml:space="preserve">6</w:t>
      </w:r>
      <w:r>
        <w:t xml:space="preserve"> года №</w:t>
      </w:r>
      <w:r>
        <w:t xml:space="preserve"> </w:t>
      </w:r>
      <w:r>
        <w:t xml:space="preserve">9</w:t>
      </w:r>
      <w:r>
        <w:t xml:space="preserve">)</w:t>
      </w:r>
      <w:r/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Основание для проведения мероприятия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Пункт 2.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Плана работы Счетной палаты Чукотского автономного округа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год, утвержденного решением Коллегии Счетной палаты Чукотского автономного округа (протокол от 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 31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Предмет экспертно-аналитического мероприятия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Процесс исполнения окружного бюджета.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экспертно-аналитического мероприятия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  <w:lang w:eastAsia="en-US"/>
        </w:rPr>
      </w:pPr>
      <w:r/>
      <w:bookmarkStart w:id="0" w:name="undefined"/>
      <w:r>
        <w:rPr>
          <w:rFonts w:eastAsia="Calibri"/>
          <w:sz w:val="28"/>
          <w:szCs w:val="28"/>
          <w:lang w:eastAsia="en-US"/>
        </w:rPr>
        <w:t xml:space="preserve">Оценить полноту поступлений доходов окружного бюджета, исполнения расходов и источников финансирования дефицита окружного бюджета.</w:t>
      </w:r>
      <w:bookmarkEnd w:id="0"/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 экспертно-аналитического мероприятия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 Основные показатели социально-экономического развития Чукотского автономного округа.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 Общая характеристика исполнения окружного бюджета.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 экспертно-аналитического мероприятия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</w:pPr>
      <w:r>
        <w:rPr>
          <w:sz w:val="28"/>
          <w:szCs w:val="28"/>
          <w:lang w:eastAsia="en-US"/>
        </w:rPr>
        <w:t xml:space="preserve">Главные администраторы средств окружного бюджета</w:t>
      </w:r>
      <w:r>
        <w:rPr>
          <w:sz w:val="28"/>
          <w:szCs w:val="28"/>
        </w:rPr>
        <w:t xml:space="preserve">, в том числе Департамент финансов и имущественных отношений Чукотского автономного округа (далее – Департамент финансов), </w:t>
      </w:r>
      <w:r>
        <w:rPr>
          <w:sz w:val="28"/>
          <w:szCs w:val="28"/>
          <w:lang w:eastAsia="en-US"/>
        </w:rPr>
        <w:t xml:space="preserve">организующий исполнение окружного бюджета,</w:t>
      </w:r>
      <w:r>
        <w:t xml:space="preserve"> </w:t>
      </w:r>
      <w:r>
        <w:rPr>
          <w:sz w:val="28"/>
          <w:szCs w:val="28"/>
        </w:rPr>
        <w:t xml:space="preserve">иные организации (при необходимости).</w:t>
      </w:r>
      <w:r/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Проверяемый период деятельности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проведения экспертно-аналитического мероприятия 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20 апреля по 29 мая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Заключение подготовлено на основании отчета Правительства Чукотского автономного округа об исполнении окружного бюджета за </w:t>
      </w:r>
      <w:r>
        <w:rPr>
          <w:sz w:val="28"/>
          <w:szCs w:val="28"/>
        </w:rPr>
        <w:t xml:space="preserve">первый квартал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6 </w:t>
      </w:r>
      <w:r>
        <w:rPr>
          <w:sz w:val="28"/>
          <w:szCs w:val="28"/>
        </w:rPr>
        <w:t xml:space="preserve">года,</w:t>
      </w:r>
      <w:r>
        <w:rPr>
          <w:sz w:val="28"/>
          <w:szCs w:val="28"/>
        </w:rPr>
        <w:t xml:space="preserve"> утвержденного Распоряжением Правительства Чукотского автономного округа 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7 апреля 2</w:t>
      </w:r>
      <w:r>
        <w:rPr>
          <w:sz w:val="28"/>
          <w:szCs w:val="28"/>
        </w:rPr>
        <w:t xml:space="preserve">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 167</w:t>
      </w:r>
      <w:r>
        <w:rPr>
          <w:sz w:val="28"/>
          <w:szCs w:val="28"/>
        </w:rPr>
        <w:t xml:space="preserve">-рп,</w:t>
      </w:r>
      <w:r>
        <w:rPr>
          <w:sz w:val="28"/>
          <w:szCs w:val="28"/>
        </w:rPr>
        <w:t xml:space="preserve"> статистических данных, размещенных на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официальн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сайт</w:t>
      </w:r>
      <w:r>
        <w:rPr>
          <w:sz w:val="28"/>
          <w:szCs w:val="28"/>
        </w:rPr>
        <w:t xml:space="preserve">ах</w:t>
      </w:r>
      <w:r>
        <w:rPr>
          <w:sz w:val="28"/>
          <w:szCs w:val="28"/>
        </w:rPr>
        <w:t xml:space="preserve"> Управления Федеральной службы государственной статистики по Хабаровскому краю, Магаданской области, Еврейской автономной области и Чукотскому автономному округу (</w:t>
      </w:r>
      <w:r>
        <w:rPr>
          <w:sz w:val="28"/>
          <w:szCs w:val="28"/>
        </w:rPr>
        <w:t xml:space="preserve">Хабаровскстат</w:t>
      </w:r>
      <w:r>
        <w:rPr>
          <w:sz w:val="28"/>
          <w:szCs w:val="28"/>
        </w:rPr>
        <w:t xml:space="preserve">) и Отделения Банка России по Чукотскому автономному округу, </w:t>
      </w:r>
      <w:r>
        <w:rPr>
          <w:sz w:val="28"/>
          <w:szCs w:val="28"/>
        </w:rPr>
        <w:t xml:space="preserve">и информации</w:t>
      </w:r>
      <w:r>
        <w:rPr>
          <w:sz w:val="28"/>
          <w:szCs w:val="28"/>
        </w:rPr>
        <w:t xml:space="preserve">, представленн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органами исполнительной власти Чукотского автономного округа.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1. </w:t>
      </w:r>
      <w:bookmarkStart w:id="0" w:name="undefined"/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сновны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 показател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социально-экономического развития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Чукотского автономного округа</w:t>
      </w:r>
      <w:bookmarkEnd w:id="0"/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Основные характеристики окружного бюджета на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год, утвержденные статьей 1 Закона об окружном бюджете</w:t>
      </w:r>
      <w:r>
        <w:rPr>
          <w:sz w:val="28"/>
          <w:szCs w:val="28"/>
          <w:vertAlign w:val="superscript"/>
        </w:rPr>
        <w:footnoteReference w:id="159"/>
      </w:r>
      <w:r>
        <w:rPr>
          <w:sz w:val="28"/>
          <w:szCs w:val="28"/>
        </w:rPr>
        <w:t xml:space="preserve">, определены, исходя из прогнозируемого объема валового регионального продукта (</w:t>
      </w:r>
      <w:r>
        <w:rPr>
          <w:sz w:val="28"/>
          <w:szCs w:val="28"/>
        </w:rPr>
        <w:t xml:space="preserve">295 139,1</w:t>
      </w:r>
      <w:r>
        <w:rPr>
          <w:sz w:val="28"/>
          <w:szCs w:val="28"/>
        </w:rPr>
        <w:t xml:space="preserve"> млн рублей</w:t>
      </w:r>
      <w:r>
        <w:rPr>
          <w:sz w:val="28"/>
          <w:szCs w:val="28"/>
          <w:vertAlign w:val="superscript"/>
        </w:rPr>
        <w:footnoteReference w:id="160"/>
      </w:r>
      <w:r>
        <w:rPr>
          <w:sz w:val="28"/>
          <w:szCs w:val="28"/>
        </w:rPr>
        <w:t xml:space="preserve">). Показатели, характеризующие социально-экономическое развитие Чукотского автономного округа, представлены в сравнении с аналогичным периодом прошлого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851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Индекс промышленного производства</w:t>
      </w:r>
      <w:r>
        <w:rPr>
          <w:rStyle w:val="4381"/>
          <w:sz w:val="28"/>
          <w:szCs w:val="28"/>
        </w:rPr>
        <w:footnoteReference w:id="161"/>
      </w:r>
      <w:r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месяц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к аналогичному периоду 202</w:t>
      </w:r>
      <w:r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снизился </w:t>
      </w:r>
      <w:r>
        <w:rPr>
          <w:sz w:val="28"/>
          <w:szCs w:val="28"/>
        </w:rPr>
        <w:t xml:space="preserve">и составил </w:t>
      </w:r>
      <w:r>
        <w:rPr>
          <w:sz w:val="28"/>
          <w:szCs w:val="28"/>
        </w:rPr>
        <w:t xml:space="preserve">90,6 </w:t>
      </w:r>
      <w:r>
        <w:rPr>
          <w:sz w:val="28"/>
          <w:szCs w:val="28"/>
        </w:rPr>
        <w:t xml:space="preserve">%.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851" w:leader="none"/>
        </w:tabs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</w:t>
      </w:r>
      <w:r>
        <w:rPr>
          <w:rFonts w:eastAsiaTheme="minorHAnsi"/>
          <w:sz w:val="28"/>
          <w:szCs w:val="28"/>
          <w:lang w:eastAsia="en-US"/>
        </w:rPr>
        <w:t xml:space="preserve">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сравнению с аналогичным периодом прошлого года </w:t>
      </w:r>
      <w:r>
        <w:rPr>
          <w:rFonts w:eastAsiaTheme="minorHAnsi"/>
          <w:sz w:val="28"/>
          <w:szCs w:val="28"/>
          <w:lang w:eastAsia="en-US"/>
        </w:rPr>
        <w:t xml:space="preserve">снижение </w:t>
      </w:r>
      <w:r>
        <w:rPr>
          <w:rFonts w:eastAsiaTheme="minorHAnsi"/>
          <w:sz w:val="28"/>
          <w:szCs w:val="28"/>
          <w:lang w:eastAsia="en-US"/>
        </w:rPr>
        <w:t xml:space="preserve">отмечается по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видам деятельности: добывающая отрасль – </w:t>
      </w:r>
      <w:r>
        <w:rPr>
          <w:sz w:val="28"/>
          <w:szCs w:val="28"/>
        </w:rPr>
        <w:t xml:space="preserve">90,5 </w:t>
      </w:r>
      <w:r>
        <w:rPr>
          <w:sz w:val="28"/>
          <w:szCs w:val="28"/>
        </w:rPr>
        <w:t xml:space="preserve">%, обрабатывающие производства – </w:t>
      </w:r>
      <w:r>
        <w:rPr>
          <w:sz w:val="28"/>
          <w:szCs w:val="28"/>
        </w:rPr>
        <w:t xml:space="preserve">50,4 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водоснабжение, водоотведение, сбор и утилизация отходов, деятельность по ликвидации загрязнений – </w:t>
      </w:r>
      <w:r>
        <w:rPr>
          <w:sz w:val="28"/>
          <w:szCs w:val="28"/>
        </w:rPr>
        <w:t xml:space="preserve">91,6 </w:t>
      </w:r>
      <w:r>
        <w:rPr>
          <w:sz w:val="28"/>
          <w:szCs w:val="28"/>
        </w:rPr>
        <w:t xml:space="preserve">%. По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виду деятельности «Обеспечение электрической энергией, газом и паром; кондиционирование воздуха» наблюдается </w:t>
      </w:r>
      <w:r>
        <w:rPr>
          <w:sz w:val="28"/>
          <w:szCs w:val="28"/>
        </w:rPr>
        <w:t xml:space="preserve">рост </w:t>
      </w:r>
      <w:r>
        <w:rPr>
          <w:sz w:val="28"/>
          <w:szCs w:val="28"/>
        </w:rPr>
        <w:t xml:space="preserve">индекса – </w:t>
      </w:r>
      <w:r>
        <w:rPr>
          <w:sz w:val="28"/>
          <w:szCs w:val="28"/>
        </w:rPr>
        <w:t xml:space="preserve">102,1 </w:t>
      </w:r>
      <w:r>
        <w:rPr>
          <w:sz w:val="28"/>
          <w:szCs w:val="28"/>
        </w:rPr>
        <w:t xml:space="preserve">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реди регионов</w:t>
      </w:r>
      <w:r>
        <w:rPr>
          <w:b/>
          <w:sz w:val="28"/>
          <w:szCs w:val="28"/>
        </w:rPr>
        <w:t xml:space="preserve"> </w:t>
      </w:r>
      <w:r>
        <w:rPr>
          <w:rFonts w:eastAsia="DejaVu Sans"/>
          <w:b/>
          <w:sz w:val="28"/>
          <w:szCs w:val="28"/>
          <w:lang w:eastAsia="ar-SA"/>
        </w:rPr>
        <w:t xml:space="preserve">Дальневосточного федерального 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аибольший</w:t>
      </w:r>
      <w:r>
        <w:rPr>
          <w:sz w:val="28"/>
          <w:szCs w:val="28"/>
        </w:rPr>
        <w:t xml:space="preserve"> показатель</w:t>
      </w:r>
      <w:r>
        <w:rPr>
          <w:sz w:val="28"/>
          <w:szCs w:val="28"/>
        </w:rPr>
        <w:t xml:space="preserve"> индекс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промышленного производс</w:t>
      </w:r>
      <w:r>
        <w:rPr>
          <w:sz w:val="28"/>
          <w:szCs w:val="28"/>
        </w:rPr>
        <w:t xml:space="preserve">тва</w:t>
      </w:r>
      <w:r>
        <w:rPr>
          <w:sz w:val="28"/>
          <w:szCs w:val="28"/>
        </w:rPr>
        <w:t xml:space="preserve"> зафиксирован 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Амурской области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15 </w:t>
      </w:r>
      <w:r>
        <w:rPr>
          <w:sz w:val="28"/>
          <w:szCs w:val="28"/>
        </w:rPr>
        <w:t xml:space="preserve">%, </w:t>
      </w:r>
      <w:r>
        <w:rPr>
          <w:sz w:val="28"/>
          <w:szCs w:val="28"/>
        </w:rPr>
        <w:t xml:space="preserve">наименьший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Чукотском автономном округе</w:t>
      </w:r>
      <w:r>
        <w:rPr>
          <w:sz w:val="28"/>
          <w:szCs w:val="28"/>
        </w:rPr>
        <w:t xml:space="preserve"> – 90,6 %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851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Объем собственного производства</w:t>
      </w:r>
      <w:r>
        <w:rPr>
          <w:sz w:val="28"/>
          <w:szCs w:val="28"/>
        </w:rPr>
        <w:t xml:space="preserve">, выполненных работ и </w:t>
      </w:r>
      <w:r>
        <w:rPr>
          <w:sz w:val="28"/>
          <w:szCs w:val="28"/>
        </w:rPr>
        <w:t xml:space="preserve">оказанных </w:t>
      </w:r>
      <w:r>
        <w:rPr>
          <w:sz w:val="28"/>
          <w:szCs w:val="28"/>
        </w:rPr>
        <w:t xml:space="preserve">услуг собственными силами (отгруженных товаров)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январ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март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составил </w:t>
      </w:r>
      <w:r>
        <w:rPr>
          <w:sz w:val="28"/>
          <w:szCs w:val="28"/>
        </w:rPr>
        <w:t xml:space="preserve">49 508,6</w:t>
      </w:r>
      <w:r>
        <w:rPr>
          <w:sz w:val="28"/>
          <w:szCs w:val="28"/>
        </w:rPr>
        <w:t xml:space="preserve"> млн рублей</w:t>
      </w:r>
      <w:r>
        <w:rPr>
          <w:sz w:val="28"/>
          <w:szCs w:val="28"/>
        </w:rPr>
        <w:t xml:space="preserve"> (в январе-марте 2025 года – 59 874,0 млн рублей)</w:t>
      </w:r>
      <w:r>
        <w:rPr>
          <w:sz w:val="28"/>
          <w:szCs w:val="28"/>
        </w:rPr>
        <w:t xml:space="preserve">, в том числе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видам экономической деятельности: добыча полезных ископаемых – </w:t>
      </w:r>
      <w:r>
        <w:rPr>
          <w:sz w:val="28"/>
          <w:szCs w:val="28"/>
        </w:rPr>
        <w:t xml:space="preserve">235,5</w:t>
      </w:r>
      <w:r>
        <w:rPr>
          <w:sz w:val="28"/>
          <w:szCs w:val="28"/>
        </w:rPr>
        <w:t xml:space="preserve"> млн рублей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 январе-марте 2025 года – </w:t>
      </w:r>
      <w:r>
        <w:rPr>
          <w:sz w:val="28"/>
          <w:szCs w:val="28"/>
        </w:rPr>
        <w:t xml:space="preserve">618 млн рублей)</w:t>
      </w:r>
      <w:r>
        <w:rPr>
          <w:sz w:val="28"/>
          <w:szCs w:val="28"/>
        </w:rPr>
        <w:t xml:space="preserve">, обрабатывающие производства – </w:t>
      </w:r>
      <w:r>
        <w:rPr>
          <w:sz w:val="28"/>
          <w:szCs w:val="28"/>
        </w:rPr>
        <w:t xml:space="preserve">40 964,3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млн рублей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 январе-марте 2025 года – </w:t>
      </w:r>
      <w:r>
        <w:rPr>
          <w:sz w:val="28"/>
          <w:szCs w:val="28"/>
        </w:rPr>
        <w:t xml:space="preserve">49 850,0 млн рублей)</w:t>
      </w:r>
      <w:r>
        <w:rPr>
          <w:sz w:val="28"/>
          <w:szCs w:val="28"/>
        </w:rPr>
        <w:t xml:space="preserve">, обеспечение электрической энергией, газом и паром, кондиционирование воздуха – </w:t>
      </w:r>
      <w:r>
        <w:rPr>
          <w:sz w:val="28"/>
          <w:szCs w:val="28"/>
        </w:rPr>
        <w:t xml:space="preserve">8 110,4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млн рублей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 январе-марте 2025 года – </w:t>
      </w:r>
      <w:r>
        <w:rPr>
          <w:sz w:val="28"/>
          <w:szCs w:val="28"/>
        </w:rPr>
        <w:t xml:space="preserve">8 425,0 млн рублей)</w:t>
      </w:r>
      <w:r>
        <w:rPr>
          <w:sz w:val="28"/>
          <w:szCs w:val="28"/>
        </w:rPr>
        <w:t xml:space="preserve">, водоснабжение, водоотведение, сбор и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утилизация отходов, деятельность по ликвидации загрязнений – </w:t>
      </w:r>
      <w:r>
        <w:rPr>
          <w:sz w:val="28"/>
          <w:szCs w:val="28"/>
        </w:rPr>
        <w:t xml:space="preserve">198,4</w:t>
      </w:r>
      <w:r>
        <w:rPr>
          <w:sz w:val="28"/>
          <w:szCs w:val="28"/>
        </w:rPr>
        <w:t xml:space="preserve"> млн рублей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 январе-марте 2025 года – </w:t>
      </w:r>
      <w:r>
        <w:rPr>
          <w:sz w:val="28"/>
          <w:szCs w:val="28"/>
        </w:rPr>
        <w:t xml:space="preserve">208 млн р</w:t>
      </w:r>
      <w:r>
        <w:rPr>
          <w:sz w:val="28"/>
          <w:szCs w:val="28"/>
        </w:rPr>
        <w:t xml:space="preserve">ублей)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851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Объем произведенной продукции сельского хозяйства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действующих ценах</w:t>
      </w:r>
      <w:r>
        <w:rPr>
          <w:sz w:val="28"/>
          <w:szCs w:val="28"/>
        </w:rPr>
        <w:t xml:space="preserve"> анализируемого периода</w:t>
      </w:r>
      <w:r>
        <w:rPr>
          <w:sz w:val="28"/>
          <w:szCs w:val="28"/>
        </w:rPr>
        <w:t xml:space="preserve"> составил </w:t>
      </w:r>
      <w:r>
        <w:rPr>
          <w:sz w:val="28"/>
          <w:szCs w:val="28"/>
        </w:rPr>
        <w:t xml:space="preserve">337,8 </w:t>
      </w:r>
      <w:r>
        <w:rPr>
          <w:sz w:val="28"/>
          <w:szCs w:val="28"/>
        </w:rPr>
        <w:t xml:space="preserve">млн рублей (</w:t>
      </w:r>
      <w:r>
        <w:rPr>
          <w:sz w:val="28"/>
          <w:szCs w:val="28"/>
        </w:rPr>
        <w:t xml:space="preserve">январь-март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года – </w:t>
      </w:r>
      <w:r>
        <w:rPr>
          <w:sz w:val="28"/>
          <w:szCs w:val="28"/>
        </w:rPr>
        <w:t xml:space="preserve">512,9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млн рублей). В отчетном периоде продукции животноводства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 округа произведено: скот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и птиц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47 </w:t>
      </w:r>
      <w:r>
        <w:rPr>
          <w:sz w:val="28"/>
          <w:szCs w:val="28"/>
        </w:rPr>
        <w:t xml:space="preserve">тонн (</w:t>
      </w:r>
      <w:r>
        <w:rPr>
          <w:sz w:val="28"/>
          <w:szCs w:val="28"/>
        </w:rPr>
        <w:t xml:space="preserve">январь-март </w:t>
      </w:r>
      <w:r>
        <w:rPr>
          <w:sz w:val="28"/>
          <w:szCs w:val="28"/>
        </w:rPr>
        <w:t xml:space="preserve">2025 года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99,0 </w:t>
      </w:r>
      <w:r>
        <w:rPr>
          <w:sz w:val="28"/>
          <w:szCs w:val="28"/>
        </w:rPr>
        <w:t xml:space="preserve">тонн); молока –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тонн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январь-март 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года –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,9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тонны);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яиц – </w:t>
      </w:r>
      <w:r>
        <w:rPr>
          <w:sz w:val="28"/>
          <w:szCs w:val="28"/>
        </w:rPr>
        <w:t xml:space="preserve">3 047,8 тыс. штук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январь-март </w:t>
      </w:r>
      <w:r>
        <w:rPr>
          <w:sz w:val="28"/>
          <w:szCs w:val="28"/>
        </w:rPr>
        <w:t xml:space="preserve">2025 года – </w:t>
      </w:r>
      <w:r>
        <w:rPr>
          <w:sz w:val="28"/>
          <w:szCs w:val="28"/>
        </w:rPr>
        <w:t xml:space="preserve">3 188,6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штук).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851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Объем работ, выполненных по виду </w:t>
      </w:r>
      <w:r>
        <w:rPr>
          <w:rFonts w:eastAsia="Calibri"/>
          <w:sz w:val="28"/>
          <w:szCs w:val="28"/>
          <w:lang w:eastAsia="en-US"/>
        </w:rPr>
        <w:t xml:space="preserve">деятельности </w:t>
      </w:r>
      <w:r>
        <w:rPr>
          <w:rFonts w:eastAsia="Calibri"/>
          <w:b/>
          <w:sz w:val="28"/>
          <w:szCs w:val="28"/>
          <w:lang w:eastAsia="en-US"/>
        </w:rPr>
        <w:t xml:space="preserve">«</w:t>
      </w:r>
      <w:r>
        <w:rPr>
          <w:rFonts w:eastAsia="Calibri"/>
          <w:b/>
          <w:sz w:val="28"/>
          <w:szCs w:val="28"/>
          <w:lang w:eastAsia="en-US"/>
        </w:rPr>
        <w:t xml:space="preserve">Строительство</w:t>
      </w:r>
      <w:r>
        <w:rPr>
          <w:rFonts w:eastAsia="Calibri"/>
          <w:b/>
          <w:sz w:val="28"/>
          <w:szCs w:val="28"/>
          <w:lang w:eastAsia="en-US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 сопоставимых ценах </w:t>
      </w:r>
      <w:r>
        <w:rPr>
          <w:bCs/>
          <w:sz w:val="28"/>
          <w:szCs w:val="28"/>
        </w:rPr>
        <w:t xml:space="preserve">за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январь-</w:t>
      </w:r>
      <w:r>
        <w:rPr>
          <w:bCs/>
          <w:sz w:val="28"/>
          <w:szCs w:val="28"/>
        </w:rPr>
        <w:t xml:space="preserve">март </w:t>
      </w:r>
      <w:r>
        <w:rPr>
          <w:bCs/>
          <w:sz w:val="28"/>
          <w:szCs w:val="28"/>
        </w:rPr>
        <w:t xml:space="preserve">202</w:t>
      </w: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 года, </w:t>
      </w:r>
      <w:r>
        <w:rPr>
          <w:bCs/>
          <w:sz w:val="28"/>
          <w:szCs w:val="28"/>
        </w:rPr>
        <w:t xml:space="preserve">увеличился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более чем</w:t>
      </w:r>
      <w:r>
        <w:rPr>
          <w:bCs/>
          <w:sz w:val="28"/>
          <w:szCs w:val="28"/>
        </w:rPr>
        <w:br/>
        <w:t xml:space="preserve">в 2,</w:t>
      </w:r>
      <w:r>
        <w:rPr>
          <w:bCs/>
          <w:sz w:val="28"/>
          <w:szCs w:val="28"/>
        </w:rPr>
        <w:t xml:space="preserve">4</w:t>
      </w:r>
      <w:r>
        <w:rPr>
          <w:bCs/>
          <w:sz w:val="28"/>
          <w:szCs w:val="28"/>
        </w:rPr>
        <w:t xml:space="preserve"> раза к</w:t>
      </w:r>
      <w:r>
        <w:rPr>
          <w:bCs/>
          <w:sz w:val="28"/>
          <w:szCs w:val="28"/>
        </w:rPr>
        <w:t xml:space="preserve"> аналогичному периоду 202</w:t>
      </w:r>
      <w:r>
        <w:rPr>
          <w:bCs/>
          <w:sz w:val="28"/>
          <w:szCs w:val="28"/>
        </w:rPr>
        <w:t xml:space="preserve">5</w:t>
      </w:r>
      <w:r>
        <w:rPr>
          <w:bCs/>
          <w:sz w:val="28"/>
          <w:szCs w:val="28"/>
        </w:rPr>
        <w:t xml:space="preserve"> года</w:t>
      </w:r>
      <w:r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 xml:space="preserve">5 042,7</w:t>
      </w:r>
      <w:r>
        <w:rPr>
          <w:bCs/>
          <w:sz w:val="28"/>
          <w:szCs w:val="28"/>
        </w:rPr>
        <w:t xml:space="preserve"> млн рублей)</w:t>
      </w:r>
      <w:r>
        <w:rPr>
          <w:bCs/>
          <w:sz w:val="28"/>
          <w:szCs w:val="28"/>
        </w:rPr>
        <w:t xml:space="preserve">, и составил</w:t>
      </w:r>
      <w:r>
        <w:rPr>
          <w:bCs/>
          <w:sz w:val="28"/>
          <w:szCs w:val="28"/>
        </w:rPr>
        <w:t xml:space="preserve"> 11 926,9 млн рублей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Показатель </w:t>
      </w:r>
      <w:r>
        <w:rPr>
          <w:b/>
          <w:sz w:val="28"/>
          <w:szCs w:val="28"/>
        </w:rPr>
        <w:t xml:space="preserve">«Грузооборот транспорта»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снизился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1,8 </w:t>
      </w:r>
      <w:r>
        <w:rPr>
          <w:sz w:val="28"/>
          <w:szCs w:val="28"/>
        </w:rPr>
        <w:t xml:space="preserve">раз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аналогичному периоду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(58,9 млн тонно-километров) </w:t>
      </w:r>
      <w:r>
        <w:rPr>
          <w:sz w:val="28"/>
          <w:szCs w:val="28"/>
        </w:rPr>
        <w:t xml:space="preserve">и составил </w:t>
      </w:r>
      <w:r>
        <w:rPr>
          <w:sz w:val="28"/>
          <w:szCs w:val="28"/>
        </w:rPr>
        <w:t xml:space="preserve">32,3 </w:t>
      </w:r>
      <w:r>
        <w:rPr>
          <w:sz w:val="28"/>
          <w:szCs w:val="28"/>
        </w:rPr>
        <w:t xml:space="preserve">млн тонно-километров.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Оборот </w:t>
      </w:r>
      <w:r>
        <w:rPr>
          <w:b/>
          <w:sz w:val="28"/>
          <w:szCs w:val="28"/>
        </w:rPr>
        <w:t xml:space="preserve">розничной торговли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bookmarkStart w:id="0" w:name="undefined"/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</w:t>
      </w:r>
      <w:bookmarkEnd w:id="0"/>
      <w:r>
        <w:rPr>
          <w:sz w:val="28"/>
          <w:szCs w:val="28"/>
        </w:rPr>
        <w:t xml:space="preserve"> составил </w:t>
      </w:r>
      <w:r>
        <w:rPr>
          <w:sz w:val="28"/>
          <w:szCs w:val="28"/>
        </w:rPr>
        <w:t xml:space="preserve">6 372,6 </w:t>
      </w:r>
      <w:r>
        <w:rPr>
          <w:sz w:val="28"/>
          <w:szCs w:val="28"/>
        </w:rPr>
        <w:t xml:space="preserve">млн рублей</w:t>
      </w:r>
      <w:r>
        <w:rPr>
          <w:sz w:val="28"/>
          <w:szCs w:val="28"/>
        </w:rPr>
        <w:t xml:space="preserve">, что выше аналогичного периода </w:t>
      </w:r>
      <w:r>
        <w:rPr>
          <w:sz w:val="28"/>
          <w:szCs w:val="28"/>
        </w:rPr>
        <w:t xml:space="preserve">прошлого года (</w:t>
      </w:r>
      <w:r>
        <w:rPr>
          <w:sz w:val="28"/>
          <w:szCs w:val="28"/>
        </w:rPr>
        <w:t xml:space="preserve">5 289,5 млн рублей)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20,5 </w:t>
      </w:r>
      <w:r>
        <w:rPr>
          <w:sz w:val="28"/>
          <w:szCs w:val="28"/>
        </w:rPr>
        <w:t xml:space="preserve">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структуре оборота розничной торговли </w:t>
      </w:r>
      <w:r>
        <w:rPr>
          <w:sz w:val="28"/>
          <w:szCs w:val="28"/>
        </w:rPr>
        <w:t xml:space="preserve">52,3 </w:t>
      </w:r>
      <w:r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приходится на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торговлю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продуктами питания</w:t>
      </w:r>
      <w:r>
        <w:rPr>
          <w:sz w:val="28"/>
          <w:szCs w:val="28"/>
        </w:rPr>
        <w:t xml:space="preserve">, напитк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и табачны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изделия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47,7 </w:t>
      </w:r>
      <w:r>
        <w:rPr>
          <w:sz w:val="28"/>
          <w:szCs w:val="28"/>
        </w:rPr>
        <w:t xml:space="preserve">% на торговлю </w:t>
      </w:r>
      <w:r>
        <w:rPr>
          <w:sz w:val="28"/>
          <w:szCs w:val="28"/>
        </w:rPr>
        <w:t xml:space="preserve">непродовольственны</w:t>
      </w:r>
      <w:r>
        <w:rPr>
          <w:sz w:val="28"/>
          <w:szCs w:val="28"/>
        </w:rPr>
        <w:t xml:space="preserve">ми</w:t>
      </w:r>
      <w:r>
        <w:rPr>
          <w:sz w:val="28"/>
          <w:szCs w:val="28"/>
        </w:rPr>
        <w:t xml:space="preserve"> товар</w:t>
      </w:r>
      <w:r>
        <w:rPr>
          <w:sz w:val="28"/>
          <w:szCs w:val="28"/>
        </w:rPr>
        <w:t xml:space="preserve">ами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I квартал 2025 года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% и</w:t>
      </w:r>
      <w:r>
        <w:rPr>
          <w:sz w:val="28"/>
          <w:szCs w:val="28"/>
        </w:rPr>
        <w:t xml:space="preserve"> 44 </w:t>
      </w:r>
      <w:r>
        <w:rPr>
          <w:sz w:val="28"/>
          <w:szCs w:val="28"/>
        </w:rPr>
        <w:t xml:space="preserve">% соответственно).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месяц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объем </w:t>
      </w:r>
      <w:r>
        <w:rPr>
          <w:b/>
          <w:sz w:val="28"/>
          <w:szCs w:val="28"/>
        </w:rPr>
        <w:t xml:space="preserve">платных услуг</w:t>
      </w:r>
      <w:r>
        <w:rPr>
          <w:sz w:val="28"/>
          <w:szCs w:val="28"/>
        </w:rPr>
        <w:t xml:space="preserve"> населению превысил аналогичный период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(1 365,2 млн рублей)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8,1 </w:t>
      </w:r>
      <w:r>
        <w:rPr>
          <w:sz w:val="28"/>
          <w:szCs w:val="28"/>
        </w:rPr>
        <w:t xml:space="preserve">% и составил </w:t>
      </w:r>
      <w:r>
        <w:rPr>
          <w:sz w:val="28"/>
          <w:szCs w:val="28"/>
        </w:rPr>
        <w:t xml:space="preserve">1 476,2 млн рублей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 них: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z w:val="28"/>
          <w:szCs w:val="28"/>
        </w:rPr>
        <w:t xml:space="preserve">331,2</w:t>
      </w:r>
      <w:r>
        <w:rPr>
          <w:sz w:val="28"/>
          <w:szCs w:val="28"/>
        </w:rPr>
        <w:t xml:space="preserve"> млн рублей – </w:t>
      </w:r>
      <w:r>
        <w:rPr>
          <w:sz w:val="28"/>
          <w:szCs w:val="28"/>
        </w:rPr>
        <w:t xml:space="preserve">коммунальные;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z w:val="28"/>
          <w:szCs w:val="28"/>
        </w:rPr>
        <w:t xml:space="preserve">236,5</w:t>
      </w:r>
      <w:r>
        <w:rPr>
          <w:sz w:val="28"/>
          <w:szCs w:val="28"/>
        </w:rPr>
        <w:t xml:space="preserve"> млн рублей – </w:t>
      </w:r>
      <w:r>
        <w:rPr>
          <w:sz w:val="28"/>
          <w:szCs w:val="28"/>
        </w:rPr>
        <w:t xml:space="preserve">телекоммуникационные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z w:val="28"/>
          <w:szCs w:val="28"/>
        </w:rPr>
        <w:t xml:space="preserve">234,4</w:t>
      </w:r>
      <w:r>
        <w:rPr>
          <w:sz w:val="28"/>
          <w:szCs w:val="28"/>
        </w:rPr>
        <w:t xml:space="preserve"> млн рублей – </w:t>
      </w:r>
      <w:r>
        <w:rPr>
          <w:sz w:val="28"/>
          <w:szCs w:val="28"/>
        </w:rPr>
        <w:t xml:space="preserve">жилищные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- 208,1 млн рублей – транспортные;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z w:val="28"/>
          <w:szCs w:val="28"/>
        </w:rPr>
        <w:t xml:space="preserve">160,1</w:t>
      </w:r>
      <w:r>
        <w:rPr>
          <w:sz w:val="28"/>
          <w:szCs w:val="28"/>
        </w:rPr>
        <w:t xml:space="preserve"> млн рублей – </w:t>
      </w:r>
      <w:r>
        <w:rPr>
          <w:sz w:val="28"/>
          <w:szCs w:val="28"/>
        </w:rPr>
        <w:t xml:space="preserve">бытовые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марте 2026 </w:t>
      </w:r>
      <w:r>
        <w:rPr>
          <w:sz w:val="28"/>
          <w:szCs w:val="28"/>
        </w:rPr>
        <w:t xml:space="preserve">года </w:t>
      </w:r>
      <w:r>
        <w:rPr>
          <w:b/>
          <w:sz w:val="28"/>
          <w:szCs w:val="28"/>
        </w:rPr>
        <w:t xml:space="preserve">индекс потребительских цен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(тарифов) на товары и платные услуги</w:t>
      </w:r>
      <w:r>
        <w:rPr>
          <w:rStyle w:val="4381"/>
          <w:sz w:val="28"/>
          <w:szCs w:val="28"/>
        </w:rPr>
        <w:footnoteReference w:id="162"/>
      </w:r>
      <w:r>
        <w:rPr>
          <w:sz w:val="28"/>
          <w:szCs w:val="28"/>
        </w:rPr>
        <w:t xml:space="preserve"> составил </w:t>
      </w:r>
      <w:r>
        <w:rPr>
          <w:sz w:val="28"/>
          <w:szCs w:val="28"/>
        </w:rPr>
        <w:t xml:space="preserve">100,</w:t>
      </w:r>
      <w:r>
        <w:rPr>
          <w:sz w:val="28"/>
          <w:szCs w:val="28"/>
        </w:rPr>
        <w:t xml:space="preserve">6 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продовольственные товары</w:t>
      </w:r>
      <w:r>
        <w:rPr>
          <w:sz w:val="28"/>
          <w:szCs w:val="28"/>
        </w:rPr>
        <w:t xml:space="preserve"> – 100,</w:t>
      </w:r>
      <w:r>
        <w:rPr>
          <w:sz w:val="28"/>
          <w:szCs w:val="28"/>
        </w:rPr>
        <w:t xml:space="preserve">8 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непродовольственные товары</w:t>
      </w:r>
      <w:r>
        <w:rPr>
          <w:sz w:val="28"/>
          <w:szCs w:val="28"/>
        </w:rPr>
        <w:t xml:space="preserve"> – 9</w:t>
      </w:r>
      <w:r>
        <w:rPr>
          <w:sz w:val="28"/>
          <w:szCs w:val="28"/>
        </w:rPr>
        <w:t xml:space="preserve">9,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платные услуги населению</w:t>
      </w:r>
      <w:r>
        <w:rPr>
          <w:sz w:val="28"/>
          <w:szCs w:val="28"/>
        </w:rPr>
        <w:t xml:space="preserve"> – 100,</w:t>
      </w:r>
      <w:r>
        <w:rPr>
          <w:sz w:val="28"/>
          <w:szCs w:val="28"/>
        </w:rPr>
        <w:t xml:space="preserve">8 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TimesNewRomanPSMT"/>
          <w:sz w:val="28"/>
          <w:szCs w:val="28"/>
          <w:lang w:eastAsia="en-US"/>
        </w:rPr>
      </w:pPr>
      <w:r/>
      <w:bookmarkStart w:id="0" w:name="undefined"/>
      <w:r>
        <w:rPr>
          <w:rFonts w:eastAsia="TimesNewRomanPS-ItalicMT"/>
          <w:iCs/>
          <w:sz w:val="28"/>
          <w:szCs w:val="28"/>
          <w:lang w:eastAsia="en-US"/>
        </w:rPr>
        <w:t xml:space="preserve">Стоимость условного (минимального) набора продуктов питания</w:t>
      </w:r>
      <w:r>
        <w:rPr>
          <w:rStyle w:val="4381"/>
          <w:rFonts w:eastAsia="TimesNewRomanPS-ItalicMT"/>
          <w:iCs/>
          <w:sz w:val="28"/>
          <w:szCs w:val="28"/>
          <w:lang w:eastAsia="en-US"/>
        </w:rPr>
        <w:footnoteReference w:id="163"/>
      </w:r>
      <w:r>
        <w:rPr>
          <w:rFonts w:eastAsia="TimesNewRomanPS-ItalicMT"/>
          <w:iCs/>
          <w:sz w:val="28"/>
          <w:szCs w:val="28"/>
          <w:lang w:eastAsia="en-US"/>
        </w:rPr>
        <w:t xml:space="preserve"> в</w:t>
      </w:r>
      <w:r>
        <w:rPr>
          <w:rFonts w:eastAsia="TimesNewRomanPS-ItalicMT"/>
          <w:iCs/>
          <w:sz w:val="28"/>
          <w:szCs w:val="28"/>
          <w:lang w:eastAsia="en-US"/>
        </w:rPr>
        <w:t xml:space="preserve"> </w:t>
      </w:r>
      <w:r>
        <w:rPr>
          <w:rFonts w:eastAsia="TimesNewRomanPS-ItalicMT"/>
          <w:iCs/>
          <w:sz w:val="28"/>
          <w:szCs w:val="28"/>
          <w:lang w:eastAsia="en-US"/>
        </w:rPr>
        <w:t xml:space="preserve">среднем </w:t>
      </w:r>
      <w:r>
        <w:rPr>
          <w:rFonts w:eastAsia="TimesNewRomanPSMT"/>
          <w:sz w:val="28"/>
          <w:szCs w:val="28"/>
          <w:lang w:eastAsia="en-US"/>
        </w:rPr>
        <w:t xml:space="preserve">по округу в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конце </w:t>
      </w:r>
      <w:r>
        <w:rPr>
          <w:rFonts w:eastAsia="TimesNewRomanPSMT"/>
          <w:sz w:val="28"/>
          <w:szCs w:val="28"/>
          <w:lang w:eastAsia="en-US"/>
        </w:rPr>
        <w:t xml:space="preserve">марта 2026 </w:t>
      </w:r>
      <w:r>
        <w:rPr>
          <w:rFonts w:eastAsia="TimesNewRomanPSMT"/>
          <w:sz w:val="28"/>
          <w:szCs w:val="28"/>
          <w:lang w:eastAsia="en-US"/>
        </w:rPr>
        <w:t xml:space="preserve">года составила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19 784,4 </w:t>
      </w:r>
      <w:r>
        <w:rPr>
          <w:rFonts w:eastAsia="TimesNewRomanPSMT"/>
          <w:sz w:val="28"/>
          <w:szCs w:val="28"/>
          <w:lang w:eastAsia="en-US"/>
        </w:rPr>
        <w:t xml:space="preserve">рубл</w:t>
      </w:r>
      <w:r>
        <w:rPr>
          <w:rFonts w:eastAsia="TimesNewRomanPSMT"/>
          <w:sz w:val="28"/>
          <w:szCs w:val="28"/>
          <w:lang w:eastAsia="en-US"/>
        </w:rPr>
        <w:t xml:space="preserve">я </w:t>
      </w:r>
      <w:r>
        <w:rPr>
          <w:rFonts w:eastAsia="TimesNewRomanPSMT"/>
          <w:sz w:val="28"/>
          <w:szCs w:val="28"/>
          <w:lang w:eastAsia="en-US"/>
        </w:rPr>
        <w:t xml:space="preserve">в</w:t>
      </w:r>
      <w:r>
        <w:rPr>
          <w:rFonts w:eastAsia="TimesNewRomanPSMT"/>
          <w:sz w:val="28"/>
          <w:szCs w:val="28"/>
          <w:lang w:eastAsia="en-US"/>
        </w:rPr>
        <w:t xml:space="preserve"> </w:t>
      </w:r>
      <w:r>
        <w:rPr>
          <w:rFonts w:eastAsia="TimesNewRomanPSMT"/>
          <w:sz w:val="28"/>
          <w:szCs w:val="28"/>
          <w:lang w:eastAsia="en-US"/>
        </w:rPr>
        <w:t xml:space="preserve">расчете на месяц</w:t>
      </w:r>
      <w:r>
        <w:rPr>
          <w:rFonts w:eastAsia="TimesNewRomanPSMT"/>
          <w:sz w:val="28"/>
          <w:szCs w:val="28"/>
          <w:lang w:eastAsia="en-US"/>
        </w:rPr>
        <w:t xml:space="preserve">.</w:t>
      </w:r>
      <w:bookmarkEnd w:id="0"/>
      <w:r>
        <w:rPr>
          <w:rFonts w:eastAsia="TimesNewRomanPSMT"/>
          <w:sz w:val="28"/>
          <w:szCs w:val="28"/>
          <w:lang w:eastAsia="en-US"/>
        </w:rPr>
      </w:r>
      <w:r>
        <w:rPr>
          <w:rFonts w:eastAsia="TimesNewRomanPSMT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  <w:highlight w:val="yellow"/>
        </w:rPr>
      </w:pPr>
      <w:r>
        <w:rPr>
          <w:rFonts w:eastAsia="DejaVu Sans" w:cs="font184"/>
          <w:b/>
          <w:sz w:val="28"/>
          <w:szCs w:val="28"/>
          <w:lang w:eastAsia="ar-SA"/>
        </w:rPr>
        <w:t xml:space="preserve">Среднемесячная </w:t>
      </w:r>
      <w:r>
        <w:rPr>
          <w:rFonts w:eastAsia="DejaVu Sans" w:cs="font184"/>
          <w:b/>
          <w:sz w:val="28"/>
          <w:szCs w:val="28"/>
          <w:lang w:eastAsia="ar-SA"/>
        </w:rPr>
        <w:t xml:space="preserve">номинальная </w:t>
      </w:r>
      <w:r>
        <w:rPr>
          <w:rFonts w:eastAsia="DejaVu Sans" w:cs="font184"/>
          <w:b/>
          <w:sz w:val="28"/>
          <w:szCs w:val="28"/>
          <w:lang w:eastAsia="ar-SA"/>
        </w:rPr>
        <w:t xml:space="preserve">начисленная заработная плата</w:t>
      </w:r>
      <w:r>
        <w:rPr>
          <w:rStyle w:val="4381"/>
          <w:rFonts w:eastAsia="DejaVu Sans" w:cs="font184"/>
          <w:sz w:val="28"/>
          <w:szCs w:val="28"/>
          <w:lang w:eastAsia="ar-SA"/>
        </w:rPr>
        <w:footnoteReference w:id="164"/>
      </w:r>
      <w:r>
        <w:rPr>
          <w:rFonts w:eastAsia="DejaVu Sans" w:cs="font184"/>
          <w:b/>
          <w:sz w:val="28"/>
          <w:szCs w:val="28"/>
          <w:lang w:eastAsia="ar-SA"/>
        </w:rPr>
        <w:br/>
      </w:r>
      <w:r>
        <w:rPr>
          <w:rFonts w:eastAsia="DejaVu Sans" w:cs="font184"/>
          <w:sz w:val="28"/>
          <w:szCs w:val="28"/>
          <w:lang w:eastAsia="ar-SA"/>
        </w:rPr>
        <w:t xml:space="preserve">за </w:t>
      </w:r>
      <w:r>
        <w:rPr>
          <w:rFonts w:eastAsia="DejaVu Sans" w:cs="font184"/>
          <w:sz w:val="28"/>
          <w:szCs w:val="28"/>
          <w:lang w:eastAsia="ar-SA"/>
        </w:rPr>
        <w:t xml:space="preserve">февраль </w:t>
      </w:r>
      <w:r>
        <w:rPr>
          <w:rFonts w:eastAsia="DejaVu Sans" w:cs="font184"/>
          <w:sz w:val="28"/>
          <w:szCs w:val="28"/>
          <w:lang w:eastAsia="ar-SA"/>
        </w:rPr>
        <w:t xml:space="preserve">202</w:t>
      </w:r>
      <w:r>
        <w:rPr>
          <w:rFonts w:eastAsia="DejaVu Sans" w:cs="font184"/>
          <w:sz w:val="28"/>
          <w:szCs w:val="28"/>
          <w:lang w:eastAsia="ar-SA"/>
        </w:rPr>
        <w:t xml:space="preserve">6</w:t>
      </w:r>
      <w:r>
        <w:rPr>
          <w:rFonts w:eastAsia="DejaVu Sans" w:cs="font184"/>
          <w:sz w:val="28"/>
          <w:szCs w:val="28"/>
          <w:lang w:eastAsia="ar-SA"/>
        </w:rPr>
        <w:t xml:space="preserve"> года составила </w:t>
      </w:r>
      <w:r>
        <w:rPr>
          <w:rFonts w:eastAsia="DejaVu Sans" w:cs="font184"/>
          <w:sz w:val="28"/>
          <w:szCs w:val="28"/>
          <w:lang w:eastAsia="ar-SA"/>
        </w:rPr>
        <w:t xml:space="preserve">208 456,0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рубл</w:t>
      </w:r>
      <w:r>
        <w:rPr>
          <w:rFonts w:eastAsia="DejaVu Sans" w:cs="font184"/>
          <w:sz w:val="28"/>
          <w:szCs w:val="28"/>
          <w:lang w:eastAsia="ar-SA"/>
        </w:rPr>
        <w:t xml:space="preserve">ей</w:t>
      </w:r>
      <w:r>
        <w:rPr>
          <w:rFonts w:eastAsia="DejaVu Sans" w:cs="font184"/>
          <w:sz w:val="28"/>
          <w:szCs w:val="28"/>
          <w:lang w:eastAsia="ar-SA"/>
        </w:rPr>
        <w:t xml:space="preserve">,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что выше аналогичного уровня 202</w:t>
      </w:r>
      <w:r>
        <w:rPr>
          <w:rFonts w:eastAsia="DejaVu Sans" w:cs="font184"/>
          <w:sz w:val="28"/>
          <w:szCs w:val="28"/>
          <w:lang w:eastAsia="ar-SA"/>
        </w:rPr>
        <w:t xml:space="preserve">5</w:t>
      </w:r>
      <w:r>
        <w:rPr>
          <w:rFonts w:eastAsia="DejaVu Sans" w:cs="font184"/>
          <w:sz w:val="28"/>
          <w:szCs w:val="28"/>
          <w:lang w:eastAsia="ar-SA"/>
        </w:rPr>
        <w:t xml:space="preserve"> года на</w:t>
      </w:r>
      <w:r>
        <w:rPr>
          <w:rFonts w:eastAsia="DejaVu Sans" w:cs="font184"/>
          <w:sz w:val="28"/>
          <w:szCs w:val="28"/>
          <w:lang w:eastAsia="ar-SA"/>
        </w:rPr>
        <w:t xml:space="preserve"> 8,8 </w:t>
      </w:r>
      <w:r>
        <w:rPr>
          <w:rFonts w:eastAsia="DejaVu Sans" w:cs="font184"/>
          <w:sz w:val="28"/>
          <w:szCs w:val="28"/>
          <w:lang w:eastAsia="ar-SA"/>
        </w:rPr>
        <w:t xml:space="preserve">% (</w:t>
      </w:r>
      <w:r>
        <w:rPr>
          <w:rFonts w:eastAsia="DejaVu Sans" w:cs="font184"/>
          <w:sz w:val="28"/>
          <w:szCs w:val="28"/>
          <w:lang w:eastAsia="ar-SA"/>
        </w:rPr>
        <w:t xml:space="preserve">191 571,0 </w:t>
      </w:r>
      <w:r>
        <w:rPr>
          <w:rFonts w:eastAsia="DejaVu Sans" w:cs="font184"/>
          <w:sz w:val="28"/>
          <w:szCs w:val="28"/>
          <w:lang w:eastAsia="ar-SA"/>
        </w:rPr>
        <w:t xml:space="preserve">рубл</w:t>
      </w:r>
      <w:r>
        <w:rPr>
          <w:rFonts w:eastAsia="DejaVu Sans" w:cs="font184"/>
          <w:sz w:val="28"/>
          <w:szCs w:val="28"/>
          <w:lang w:eastAsia="ar-SA"/>
        </w:rPr>
        <w:t xml:space="preserve">ь</w:t>
      </w:r>
      <w:r>
        <w:rPr>
          <w:rFonts w:eastAsia="DejaVu Sans" w:cs="font184"/>
          <w:sz w:val="28"/>
          <w:szCs w:val="28"/>
          <w:lang w:eastAsia="ar-SA"/>
        </w:rPr>
        <w:t xml:space="preserve">).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Просроченная задолженность по заработной плате в крупных и средних организациях округа по состоянию на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TimesNewRomanPS-ItalicMT"/>
          <w:iCs/>
          <w:sz w:val="28"/>
          <w:szCs w:val="28"/>
          <w:lang w:eastAsia="en-US"/>
        </w:rPr>
        <w:t xml:space="preserve">1</w:t>
      </w:r>
      <w:r>
        <w:rPr>
          <w:rFonts w:eastAsia="TimesNewRomanPS-ItalicMT"/>
          <w:iCs/>
          <w:sz w:val="28"/>
          <w:szCs w:val="28"/>
          <w:lang w:eastAsia="en-US"/>
        </w:rPr>
        <w:t xml:space="preserve"> апреля </w:t>
      </w:r>
      <w:r>
        <w:rPr>
          <w:rFonts w:eastAsia="DejaVu Sans" w:cs="font184"/>
          <w:sz w:val="28"/>
          <w:szCs w:val="28"/>
          <w:lang w:eastAsia="ar-SA"/>
        </w:rPr>
        <w:t xml:space="preserve">202</w:t>
      </w:r>
      <w:r>
        <w:rPr>
          <w:rFonts w:eastAsia="DejaVu Sans" w:cs="font184"/>
          <w:sz w:val="28"/>
          <w:szCs w:val="28"/>
          <w:lang w:eastAsia="ar-SA"/>
        </w:rPr>
        <w:t xml:space="preserve">6 </w:t>
      </w:r>
      <w:r>
        <w:rPr>
          <w:rFonts w:eastAsia="DejaVu Sans" w:cs="font184"/>
          <w:sz w:val="28"/>
          <w:szCs w:val="28"/>
          <w:lang w:eastAsia="ar-SA"/>
        </w:rPr>
        <w:t xml:space="preserve">года отсутствует.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  <w:lang w:eastAsia="en-US"/>
        </w:rPr>
      </w:pPr>
      <w:r>
        <w:rPr>
          <w:rFonts w:eastAsia="TimesNewRomanPS-ItalicMT"/>
          <w:iCs/>
          <w:sz w:val="28"/>
          <w:szCs w:val="28"/>
          <w:lang w:eastAsia="en-US"/>
        </w:rPr>
        <w:t xml:space="preserve">Величина прожиточного минимума в Чукотском автономном округе </w:t>
      </w:r>
      <w:r>
        <w:rPr>
          <w:rFonts w:eastAsia="TimesNewRomanPSMT"/>
          <w:sz w:val="28"/>
          <w:szCs w:val="28"/>
          <w:lang w:eastAsia="en-US"/>
        </w:rPr>
        <w:t xml:space="preserve">на 202</w:t>
      </w:r>
      <w:r>
        <w:rPr>
          <w:rFonts w:eastAsia="TimesNewRomanPSMT"/>
          <w:sz w:val="28"/>
          <w:szCs w:val="28"/>
          <w:lang w:eastAsia="en-US"/>
        </w:rPr>
        <w:t xml:space="preserve">6</w:t>
      </w:r>
      <w:r>
        <w:rPr>
          <w:rFonts w:eastAsia="TimesNewRomanPSMT"/>
          <w:sz w:val="28"/>
          <w:szCs w:val="28"/>
          <w:lang w:eastAsia="en-US"/>
        </w:rPr>
        <w:t xml:space="preserve"> год</w:t>
      </w:r>
      <w:r>
        <w:rPr>
          <w:rStyle w:val="4381"/>
          <w:rFonts w:eastAsia="TimesNewRomanPSMT"/>
          <w:sz w:val="28"/>
          <w:szCs w:val="28"/>
          <w:lang w:eastAsia="en-US"/>
        </w:rPr>
        <w:footnoteReference w:id="165"/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-ItalicMT"/>
          <w:iCs/>
          <w:sz w:val="28"/>
          <w:szCs w:val="28"/>
          <w:lang w:eastAsia="en-US"/>
        </w:rPr>
        <w:t xml:space="preserve">в расчете на душу населения </w:t>
      </w:r>
      <w:r>
        <w:rPr>
          <w:rFonts w:eastAsia="TimesNewRomanPSMT"/>
          <w:sz w:val="28"/>
          <w:szCs w:val="28"/>
          <w:lang w:eastAsia="en-US"/>
        </w:rPr>
        <w:t xml:space="preserve">составляет </w:t>
      </w:r>
      <w:r>
        <w:rPr>
          <w:rFonts w:eastAsia="Calibri"/>
          <w:sz w:val="28"/>
          <w:szCs w:val="28"/>
          <w:lang w:eastAsia="en-US"/>
        </w:rPr>
        <w:t xml:space="preserve">49 431</w:t>
      </w:r>
      <w:r>
        <w:rPr>
          <w:rFonts w:eastAsia="TimesNewRomanPSMT"/>
          <w:sz w:val="28"/>
          <w:szCs w:val="28"/>
          <w:lang w:eastAsia="en-US"/>
        </w:rPr>
        <w:t xml:space="preserve"> рубл</w:t>
      </w:r>
      <w:r>
        <w:rPr>
          <w:rFonts w:eastAsia="TimesNewRomanPSMT"/>
          <w:sz w:val="28"/>
          <w:szCs w:val="28"/>
          <w:lang w:eastAsia="en-US"/>
        </w:rPr>
        <w:t xml:space="preserve">ь</w:t>
      </w:r>
      <w:r>
        <w:rPr>
          <w:rFonts w:eastAsia="Calibri"/>
          <w:sz w:val="28"/>
          <w:szCs w:val="28"/>
          <w:lang w:eastAsia="en-US"/>
        </w:rPr>
        <w:t xml:space="preserve">, для трудоспособного населения – </w:t>
      </w:r>
      <w:r>
        <w:rPr>
          <w:rFonts w:eastAsia="Calibri"/>
          <w:sz w:val="28"/>
          <w:szCs w:val="28"/>
          <w:lang w:eastAsia="en-US"/>
        </w:rPr>
        <w:t xml:space="preserve">53 880 </w:t>
      </w:r>
      <w:r>
        <w:rPr>
          <w:rFonts w:eastAsia="Calibri"/>
          <w:sz w:val="28"/>
          <w:szCs w:val="28"/>
          <w:lang w:eastAsia="en-US"/>
        </w:rPr>
        <w:t xml:space="preserve">рубл</w:t>
      </w:r>
      <w:r>
        <w:rPr>
          <w:rFonts w:eastAsia="Calibri"/>
          <w:sz w:val="28"/>
          <w:szCs w:val="28"/>
          <w:lang w:eastAsia="en-US"/>
        </w:rPr>
        <w:t xml:space="preserve">ей</w:t>
      </w:r>
      <w:r>
        <w:rPr>
          <w:rFonts w:eastAsia="Calibri"/>
          <w:sz w:val="28"/>
          <w:szCs w:val="28"/>
          <w:lang w:eastAsia="en-US"/>
        </w:rPr>
        <w:t xml:space="preserve">, пенсионеров – </w:t>
      </w:r>
      <w:r>
        <w:rPr>
          <w:rFonts w:eastAsia="Calibri"/>
          <w:sz w:val="28"/>
          <w:szCs w:val="28"/>
          <w:lang w:eastAsia="en-US"/>
        </w:rPr>
        <w:t xml:space="preserve">42 511</w:t>
      </w:r>
      <w:r>
        <w:rPr>
          <w:rFonts w:eastAsia="Calibri"/>
          <w:sz w:val="28"/>
          <w:szCs w:val="28"/>
          <w:lang w:eastAsia="en-US"/>
        </w:rPr>
        <w:t xml:space="preserve"> рубл</w:t>
      </w:r>
      <w:r>
        <w:rPr>
          <w:rFonts w:eastAsia="Calibri"/>
          <w:sz w:val="28"/>
          <w:szCs w:val="28"/>
          <w:lang w:eastAsia="en-US"/>
        </w:rPr>
        <w:t xml:space="preserve">ей</w:t>
      </w:r>
      <w:r>
        <w:rPr>
          <w:rFonts w:eastAsia="Calibri"/>
          <w:sz w:val="28"/>
          <w:szCs w:val="28"/>
          <w:lang w:eastAsia="en-US"/>
        </w:rPr>
        <w:t xml:space="preserve">, детей – </w:t>
      </w:r>
      <w:r>
        <w:rPr>
          <w:rFonts w:eastAsia="Calibri"/>
          <w:sz w:val="28"/>
          <w:szCs w:val="28"/>
          <w:lang w:eastAsia="en-US"/>
        </w:rPr>
        <w:t xml:space="preserve">47 948 рублей.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TimesNewRomanPSMT"/>
          <w:sz w:val="28"/>
          <w:szCs w:val="28"/>
          <w:lang w:eastAsia="en-US"/>
        </w:rPr>
      </w:pPr>
      <w:r>
        <w:rPr>
          <w:rFonts w:eastAsia="TimesNewRomanPS-ItalicMT"/>
          <w:b/>
          <w:iCs/>
          <w:sz w:val="28"/>
          <w:szCs w:val="28"/>
          <w:lang w:eastAsia="en-US"/>
        </w:rPr>
        <w:t xml:space="preserve">Количество субъектов </w:t>
      </w:r>
      <w:r>
        <w:rPr>
          <w:rFonts w:eastAsia="TimesNewRomanPSMT"/>
          <w:b/>
          <w:sz w:val="28"/>
          <w:szCs w:val="28"/>
          <w:lang w:eastAsia="en-US"/>
        </w:rPr>
        <w:t xml:space="preserve">малого и среднего предпринимательства</w:t>
      </w:r>
      <w:r>
        <w:rPr>
          <w:rFonts w:eastAsia="TimesNewRomanPSMT"/>
          <w:sz w:val="28"/>
          <w:szCs w:val="28"/>
          <w:lang w:eastAsia="en-US"/>
        </w:rPr>
        <w:t xml:space="preserve"> (далее – МСП)</w:t>
      </w:r>
      <w:r>
        <w:rPr>
          <w:rFonts w:eastAsia="TimesNewRomanPS-ItalicMT"/>
          <w:iCs/>
          <w:sz w:val="28"/>
          <w:szCs w:val="28"/>
          <w:lang w:eastAsia="en-US"/>
        </w:rPr>
        <w:t xml:space="preserve">, сведения о которых содержатся в Едином реестре субъектов малого и среднего предпринимательства</w:t>
      </w:r>
      <w:r>
        <w:rPr>
          <w:rFonts w:eastAsia="TimesNewRomanPS-ItalicMT"/>
          <w:iCs/>
          <w:sz w:val="28"/>
          <w:szCs w:val="28"/>
          <w:vertAlign w:val="superscript"/>
          <w:lang w:eastAsia="en-US"/>
        </w:rPr>
        <w:footnoteReference w:id="166"/>
      </w:r>
      <w:r>
        <w:rPr>
          <w:rFonts w:eastAsia="TimesNewRomanPS-ItalicMT"/>
          <w:iCs/>
          <w:sz w:val="28"/>
          <w:szCs w:val="28"/>
          <w:lang w:eastAsia="en-US"/>
        </w:rPr>
        <w:t xml:space="preserve">, </w:t>
      </w:r>
      <w:r>
        <w:rPr>
          <w:rFonts w:eastAsia="TimesNewRomanPSMT"/>
          <w:sz w:val="28"/>
          <w:szCs w:val="28"/>
          <w:lang w:eastAsia="en-US"/>
        </w:rPr>
        <w:t xml:space="preserve">по состоянию</w:t>
      </w:r>
      <w:r>
        <w:rPr>
          <w:rFonts w:eastAsia="TimesNewRomanPSMT"/>
          <w:sz w:val="28"/>
          <w:szCs w:val="28"/>
          <w:lang w:eastAsia="en-US"/>
        </w:rPr>
        <w:t xml:space="preserve">на 10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апреля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202</w:t>
      </w:r>
      <w:r>
        <w:rPr>
          <w:rFonts w:eastAsia="TimesNewRomanPSMT"/>
          <w:sz w:val="28"/>
          <w:szCs w:val="28"/>
          <w:lang w:eastAsia="en-US"/>
        </w:rPr>
        <w:t xml:space="preserve">6</w:t>
      </w:r>
      <w:r>
        <w:rPr>
          <w:rFonts w:eastAsia="TimesNewRomanPSMT"/>
          <w:sz w:val="28"/>
          <w:szCs w:val="28"/>
          <w:lang w:eastAsia="en-US"/>
        </w:rPr>
        <w:t xml:space="preserve"> года – </w:t>
      </w:r>
      <w:r>
        <w:rPr>
          <w:rFonts w:eastAsia="TimesNewRomanPSMT"/>
          <w:sz w:val="28"/>
          <w:szCs w:val="28"/>
          <w:lang w:eastAsia="en-US"/>
        </w:rPr>
        <w:t xml:space="preserve">1 820</w:t>
      </w:r>
      <w:r>
        <w:rPr>
          <w:rFonts w:eastAsia="TimesNewRomanPSMT"/>
          <w:sz w:val="28"/>
          <w:szCs w:val="28"/>
          <w:lang w:eastAsia="en-US"/>
        </w:rPr>
        <w:t xml:space="preserve"> </w:t>
      </w:r>
      <w:r>
        <w:rPr>
          <w:rFonts w:eastAsia="TimesNewRomanPSMT"/>
          <w:sz w:val="28"/>
          <w:szCs w:val="28"/>
          <w:lang w:eastAsia="en-US"/>
        </w:rPr>
        <w:t xml:space="preserve">единиц, в том числе:</w:t>
      </w:r>
      <w:r>
        <w:rPr>
          <w:rFonts w:eastAsia="TimesNewRomanPSMT"/>
          <w:sz w:val="28"/>
          <w:szCs w:val="28"/>
          <w:lang w:eastAsia="en-US"/>
        </w:rPr>
      </w:r>
      <w:r>
        <w:rPr>
          <w:rFonts w:eastAsia="TimesNewRomanPSMT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- </w:t>
      </w:r>
      <w:r>
        <w:rPr>
          <w:rFonts w:eastAsia="TimesNewRomanPS-ItalicMT"/>
          <w:iCs/>
          <w:sz w:val="28"/>
          <w:szCs w:val="28"/>
          <w:lang w:eastAsia="en-US"/>
        </w:rPr>
        <w:t xml:space="preserve">юридические лица </w:t>
      </w:r>
      <w:r>
        <w:rPr>
          <w:rFonts w:eastAsia="TimesNewRomanPSMT"/>
          <w:sz w:val="28"/>
          <w:szCs w:val="28"/>
          <w:lang w:eastAsia="en-US"/>
        </w:rPr>
        <w:t xml:space="preserve">–</w:t>
      </w:r>
      <w:r>
        <w:rPr>
          <w:rFonts w:eastAsia="TimesNewRomanPSMT"/>
          <w:sz w:val="28"/>
          <w:szCs w:val="28"/>
          <w:lang w:eastAsia="en-US"/>
        </w:rPr>
        <w:t xml:space="preserve"> 4</w:t>
      </w:r>
      <w:r>
        <w:rPr>
          <w:rFonts w:eastAsia="TimesNewRomanPSMT"/>
          <w:sz w:val="28"/>
          <w:szCs w:val="28"/>
          <w:lang w:eastAsia="en-US"/>
        </w:rPr>
        <w:t xml:space="preserve">8</w:t>
      </w:r>
      <w:r>
        <w:rPr>
          <w:rFonts w:eastAsia="TimesNewRomanPSMT"/>
          <w:sz w:val="28"/>
          <w:szCs w:val="28"/>
          <w:lang w:eastAsia="en-US"/>
        </w:rPr>
        <w:t xml:space="preserve">3 </w:t>
      </w:r>
      <w:r>
        <w:rPr>
          <w:rFonts w:eastAsia="TimesNewRomanPSMT"/>
          <w:sz w:val="28"/>
          <w:szCs w:val="28"/>
          <w:lang w:eastAsia="en-US"/>
        </w:rPr>
        <w:t xml:space="preserve">единиц</w:t>
      </w:r>
      <w:r>
        <w:rPr>
          <w:rFonts w:eastAsia="TimesNewRomanPSMT"/>
          <w:sz w:val="28"/>
          <w:szCs w:val="28"/>
          <w:lang w:eastAsia="en-US"/>
        </w:rPr>
        <w:t xml:space="preserve">ы</w:t>
      </w:r>
      <w:r>
        <w:rPr>
          <w:rFonts w:eastAsia="TimesNewRomanPSMT"/>
          <w:sz w:val="28"/>
          <w:szCs w:val="28"/>
          <w:lang w:eastAsia="en-US"/>
        </w:rPr>
        <w:t xml:space="preserve">;</w:t>
      </w:r>
      <w:r>
        <w:rPr>
          <w:rFonts w:eastAsia="TimesNewRomanPSMT"/>
          <w:sz w:val="28"/>
          <w:szCs w:val="28"/>
          <w:lang w:eastAsia="en-US"/>
        </w:rPr>
      </w:r>
      <w:r>
        <w:rPr>
          <w:rFonts w:eastAsia="TimesNewRomanPSMT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- </w:t>
      </w:r>
      <w:r>
        <w:rPr>
          <w:rFonts w:eastAsia="TimesNewRomanPS-ItalicMT"/>
          <w:iCs/>
          <w:sz w:val="28"/>
          <w:szCs w:val="28"/>
          <w:lang w:eastAsia="en-US"/>
        </w:rPr>
        <w:t xml:space="preserve">индивидуальные предприниматели </w:t>
      </w:r>
      <w:r>
        <w:rPr>
          <w:rFonts w:eastAsia="TimesNewRomanPSMT"/>
          <w:sz w:val="28"/>
          <w:szCs w:val="28"/>
          <w:lang w:eastAsia="en-US"/>
        </w:rPr>
        <w:t xml:space="preserve">– </w:t>
      </w:r>
      <w:r>
        <w:rPr>
          <w:rFonts w:eastAsia="TimesNewRomanPSMT"/>
          <w:sz w:val="28"/>
          <w:szCs w:val="28"/>
          <w:lang w:eastAsia="en-US"/>
        </w:rPr>
        <w:t xml:space="preserve">1 </w:t>
      </w:r>
      <w:r>
        <w:rPr>
          <w:rFonts w:eastAsia="TimesNewRomanPSMT"/>
          <w:sz w:val="28"/>
          <w:szCs w:val="28"/>
          <w:lang w:eastAsia="en-US"/>
        </w:rPr>
        <w:t xml:space="preserve">337</w:t>
      </w:r>
      <w:r>
        <w:rPr>
          <w:rFonts w:eastAsia="TimesNewRomanPSMT"/>
          <w:sz w:val="28"/>
          <w:szCs w:val="28"/>
          <w:lang w:eastAsia="en-US"/>
        </w:rPr>
        <w:t xml:space="preserve"> </w:t>
      </w:r>
      <w:r>
        <w:rPr>
          <w:rFonts w:eastAsia="TimesNewRomanPSMT"/>
          <w:sz w:val="28"/>
          <w:szCs w:val="28"/>
          <w:lang w:eastAsia="en-US"/>
        </w:rPr>
        <w:t xml:space="preserve">единиц.</w:t>
      </w:r>
      <w:r>
        <w:rPr>
          <w:rFonts w:eastAsia="TimesNewRomanPSMT"/>
          <w:sz w:val="28"/>
          <w:szCs w:val="28"/>
          <w:lang w:eastAsia="en-US"/>
        </w:rPr>
      </w:r>
      <w:r>
        <w:rPr>
          <w:rFonts w:eastAsia="TimesNewRomanPSMT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По сравнению с </w:t>
      </w:r>
      <w:r>
        <w:rPr>
          <w:rFonts w:eastAsia="TimesNewRomanPSMT"/>
          <w:sz w:val="28"/>
          <w:szCs w:val="28"/>
          <w:lang w:eastAsia="en-US"/>
        </w:rPr>
        <w:t xml:space="preserve">аналогичным периодом</w:t>
      </w:r>
      <w:r>
        <w:rPr>
          <w:rFonts w:eastAsia="TimesNewRomanPSMT"/>
          <w:sz w:val="28"/>
          <w:szCs w:val="28"/>
          <w:lang w:eastAsia="en-US"/>
        </w:rPr>
        <w:t xml:space="preserve"> 202</w:t>
      </w:r>
      <w:r>
        <w:rPr>
          <w:rFonts w:eastAsia="TimesNewRomanPSMT"/>
          <w:sz w:val="28"/>
          <w:szCs w:val="28"/>
          <w:lang w:eastAsia="en-US"/>
        </w:rPr>
        <w:t xml:space="preserve">5</w:t>
      </w:r>
      <w:r>
        <w:rPr>
          <w:rFonts w:eastAsia="TimesNewRomanPSMT"/>
          <w:sz w:val="28"/>
          <w:szCs w:val="28"/>
          <w:lang w:eastAsia="en-US"/>
        </w:rPr>
        <w:t xml:space="preserve"> года количество субъектов</w:t>
      </w:r>
      <w:r>
        <w:rPr>
          <w:rFonts w:eastAsia="TimesNewRomanPSMT"/>
          <w:sz w:val="28"/>
          <w:szCs w:val="28"/>
          <w:lang w:eastAsia="en-US"/>
        </w:rPr>
        <w:t xml:space="preserve"> </w:t>
      </w:r>
      <w:r>
        <w:rPr>
          <w:rFonts w:eastAsia="TimesNewRomanPSMT"/>
          <w:sz w:val="28"/>
          <w:szCs w:val="28"/>
          <w:lang w:eastAsia="en-US"/>
        </w:rPr>
        <w:t xml:space="preserve">МСП </w:t>
      </w:r>
      <w:r>
        <w:rPr>
          <w:rFonts w:eastAsia="TimesNewRomanPSMT"/>
          <w:sz w:val="28"/>
          <w:szCs w:val="28"/>
          <w:lang w:eastAsia="en-US"/>
        </w:rPr>
        <w:t xml:space="preserve">(1</w:t>
      </w:r>
      <w:r>
        <w:rPr>
          <w:rFonts w:eastAsia="TimesNewRomanPSMT"/>
          <w:sz w:val="28"/>
          <w:szCs w:val="28"/>
          <w:lang w:eastAsia="en-US"/>
        </w:rPr>
        <w:t xml:space="preserve"> </w:t>
      </w:r>
      <w:r>
        <w:rPr>
          <w:rFonts w:eastAsia="TimesNewRomanPSMT"/>
          <w:sz w:val="28"/>
          <w:szCs w:val="28"/>
          <w:lang w:eastAsia="en-US"/>
        </w:rPr>
        <w:t xml:space="preserve">725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единиц) </w:t>
      </w:r>
      <w:r>
        <w:rPr>
          <w:rFonts w:eastAsia="TimesNewRomanPSMT"/>
          <w:sz w:val="28"/>
          <w:szCs w:val="28"/>
          <w:lang w:eastAsia="en-US"/>
        </w:rPr>
        <w:t xml:space="preserve">увеличилось на </w:t>
      </w:r>
      <w:r>
        <w:rPr>
          <w:rFonts w:eastAsia="TimesNewRomanPSMT"/>
          <w:sz w:val="28"/>
          <w:szCs w:val="28"/>
          <w:lang w:eastAsia="en-US"/>
        </w:rPr>
        <w:t xml:space="preserve">95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единиц или на </w:t>
      </w:r>
      <w:r>
        <w:rPr>
          <w:rFonts w:eastAsia="TimesNewRomanPSMT"/>
          <w:sz w:val="28"/>
          <w:szCs w:val="28"/>
          <w:lang w:eastAsia="en-US"/>
        </w:rPr>
        <w:t xml:space="preserve">5,5 </w:t>
      </w:r>
      <w:r>
        <w:rPr>
          <w:rFonts w:eastAsia="TimesNewRomanPSMT"/>
          <w:sz w:val="28"/>
          <w:szCs w:val="28"/>
          <w:lang w:eastAsia="en-US"/>
        </w:rPr>
        <w:t xml:space="preserve">%. </w:t>
      </w:r>
      <w:r>
        <w:rPr>
          <w:rFonts w:eastAsia="TimesNewRomanPSMT"/>
          <w:sz w:val="28"/>
          <w:szCs w:val="28"/>
          <w:lang w:eastAsia="en-US"/>
        </w:rPr>
      </w:r>
      <w:r>
        <w:rPr>
          <w:rFonts w:eastAsia="TimesNewRomanPSMT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TimesNewRomanPSMT"/>
          <w:sz w:val="28"/>
          <w:szCs w:val="28"/>
          <w:lang w:eastAsia="en-US"/>
        </w:rPr>
      </w:pPr>
      <w:r>
        <w:rPr>
          <w:rFonts w:eastAsia="TimesNewRomanPS-ItalicMT"/>
          <w:iCs/>
          <w:sz w:val="28"/>
          <w:szCs w:val="28"/>
          <w:lang w:eastAsia="en-US"/>
        </w:rPr>
        <w:t xml:space="preserve">Среднесписочная численность работников на предприятиях МСП по сравнению с аналогичным периодом прошлого года</w:t>
      </w:r>
      <w:r>
        <w:rPr>
          <w:rFonts w:eastAsia="TimesNewRomanPS-ItalicMT"/>
          <w:iCs/>
          <w:sz w:val="28"/>
          <w:szCs w:val="28"/>
          <w:lang w:eastAsia="en-US"/>
        </w:rPr>
        <w:t xml:space="preserve"> (3 759 человек)</w:t>
      </w:r>
      <w:r>
        <w:rPr>
          <w:rFonts w:eastAsia="TimesNewRomanPS-ItalicMT"/>
          <w:iCs/>
          <w:sz w:val="28"/>
          <w:szCs w:val="28"/>
          <w:lang w:eastAsia="en-US"/>
        </w:rPr>
        <w:t xml:space="preserve"> снизилась на </w:t>
      </w:r>
      <w:r>
        <w:rPr>
          <w:rFonts w:eastAsia="TimesNewRomanPS-ItalicMT"/>
          <w:iCs/>
          <w:sz w:val="28"/>
          <w:szCs w:val="28"/>
          <w:lang w:eastAsia="en-US"/>
        </w:rPr>
        <w:t xml:space="preserve">100 </w:t>
      </w:r>
      <w:r>
        <w:rPr>
          <w:rFonts w:eastAsia="TimesNewRomanPS-ItalicMT"/>
          <w:iCs/>
          <w:sz w:val="28"/>
          <w:szCs w:val="28"/>
          <w:lang w:eastAsia="en-US"/>
        </w:rPr>
        <w:t xml:space="preserve">человек и </w:t>
      </w:r>
      <w:r>
        <w:rPr>
          <w:rFonts w:eastAsia="TimesNewRomanPSMT"/>
          <w:sz w:val="28"/>
          <w:szCs w:val="28"/>
          <w:lang w:eastAsia="en-US"/>
        </w:rPr>
        <w:t xml:space="preserve">по состоянию на 10 </w:t>
      </w:r>
      <w:r>
        <w:rPr>
          <w:rFonts w:eastAsia="TimesNewRomanPSMT"/>
          <w:sz w:val="28"/>
          <w:szCs w:val="28"/>
          <w:lang w:eastAsia="en-US"/>
        </w:rPr>
        <w:t xml:space="preserve">апреля </w:t>
      </w:r>
      <w:r>
        <w:rPr>
          <w:rFonts w:eastAsia="TimesNewRomanPSMT"/>
          <w:sz w:val="28"/>
          <w:szCs w:val="28"/>
          <w:lang w:eastAsia="en-US"/>
        </w:rPr>
        <w:t xml:space="preserve">202</w:t>
      </w:r>
      <w:r>
        <w:rPr>
          <w:rFonts w:eastAsia="TimesNewRomanPSMT"/>
          <w:sz w:val="28"/>
          <w:szCs w:val="28"/>
          <w:lang w:eastAsia="en-US"/>
        </w:rPr>
        <w:t xml:space="preserve">6</w:t>
      </w:r>
      <w:r>
        <w:rPr>
          <w:rFonts w:eastAsia="TimesNewRomanPSMT"/>
          <w:sz w:val="28"/>
          <w:szCs w:val="28"/>
          <w:lang w:eastAsia="en-US"/>
        </w:rPr>
        <w:t xml:space="preserve"> года составила </w:t>
      </w:r>
      <w:r>
        <w:rPr>
          <w:rFonts w:eastAsia="TimesNewRomanPSMT"/>
          <w:sz w:val="28"/>
          <w:szCs w:val="28"/>
          <w:lang w:eastAsia="en-US"/>
        </w:rPr>
        <w:t xml:space="preserve">3 659</w:t>
      </w:r>
      <w:r>
        <w:rPr>
          <w:rFonts w:eastAsia="TimesNewRomanPSMT"/>
          <w:sz w:val="28"/>
          <w:szCs w:val="28"/>
          <w:lang w:eastAsia="en-US"/>
        </w:rPr>
        <w:t xml:space="preserve"> </w:t>
      </w:r>
      <w:r>
        <w:rPr>
          <w:rFonts w:eastAsia="TimesNewRomanPSMT"/>
          <w:sz w:val="28"/>
          <w:szCs w:val="28"/>
          <w:lang w:eastAsia="en-US"/>
        </w:rPr>
        <w:t xml:space="preserve">человек, в том числе:</w:t>
      </w:r>
      <w:r>
        <w:rPr>
          <w:rFonts w:eastAsia="TimesNewRomanPSMT"/>
          <w:sz w:val="28"/>
          <w:szCs w:val="28"/>
          <w:lang w:eastAsia="en-US"/>
        </w:rPr>
      </w:r>
      <w:r>
        <w:rPr>
          <w:rFonts w:eastAsia="TimesNewRomanPSMT"/>
          <w:sz w:val="28"/>
          <w:szCs w:val="28"/>
          <w:lang w:eastAsia="en-US"/>
        </w:rPr>
      </w:r>
    </w:p>
    <w:p>
      <w:pPr>
        <w:ind w:firstLine="709"/>
        <w:spacing w:before="0" w:beforeAutospacing="0" w:after="0" w:afterAutospacing="0" w:line="240" w:lineRule="auto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- </w:t>
      </w:r>
      <w:r>
        <w:rPr>
          <w:rFonts w:eastAsia="TimesNewRomanPS-ItalicMT"/>
          <w:iCs/>
          <w:sz w:val="28"/>
          <w:szCs w:val="28"/>
          <w:lang w:eastAsia="en-US"/>
        </w:rPr>
        <w:t xml:space="preserve">юридические лица </w:t>
      </w:r>
      <w:r>
        <w:rPr>
          <w:rFonts w:eastAsia="TimesNewRomanPSMT"/>
          <w:sz w:val="28"/>
          <w:szCs w:val="28"/>
          <w:lang w:eastAsia="en-US"/>
        </w:rPr>
        <w:t xml:space="preserve">–</w:t>
      </w:r>
      <w: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2</w:t>
      </w:r>
      <w:r>
        <w:rPr>
          <w:rFonts w:eastAsia="TimesNewRomanPSMT"/>
          <w:sz w:val="28"/>
          <w:szCs w:val="28"/>
          <w:lang w:eastAsia="en-US"/>
        </w:rPr>
        <w:t xml:space="preserve"> </w:t>
      </w:r>
      <w:r>
        <w:rPr>
          <w:rFonts w:eastAsia="TimesNewRomanPSMT"/>
          <w:sz w:val="28"/>
          <w:szCs w:val="28"/>
          <w:lang w:eastAsia="en-US"/>
        </w:rPr>
        <w:t xml:space="preserve">747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человек;</w:t>
      </w:r>
      <w:r>
        <w:rPr>
          <w:rFonts w:eastAsia="TimesNewRomanPSMT"/>
          <w:sz w:val="28"/>
          <w:szCs w:val="28"/>
          <w:lang w:eastAsia="en-US"/>
        </w:rPr>
      </w:r>
      <w:r>
        <w:rPr>
          <w:rFonts w:eastAsia="TimesNewRomanPSMT"/>
          <w:sz w:val="28"/>
          <w:szCs w:val="28"/>
          <w:lang w:eastAsia="en-US"/>
        </w:rPr>
      </w:r>
    </w:p>
    <w:p>
      <w:pPr>
        <w:ind w:firstLine="709"/>
        <w:spacing w:before="0" w:beforeAutospacing="0" w:after="0" w:afterAutospacing="0" w:line="240" w:lineRule="auto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- </w:t>
      </w:r>
      <w:r>
        <w:rPr>
          <w:rFonts w:eastAsia="TimesNewRomanPS-ItalicMT"/>
          <w:iCs/>
          <w:sz w:val="28"/>
          <w:szCs w:val="28"/>
          <w:lang w:eastAsia="en-US"/>
        </w:rPr>
        <w:t xml:space="preserve">индивидуальные предприниматели </w:t>
      </w:r>
      <w:r>
        <w:rPr>
          <w:rFonts w:eastAsia="TimesNewRomanPSMT"/>
          <w:sz w:val="28"/>
          <w:szCs w:val="28"/>
          <w:lang w:eastAsia="en-US"/>
        </w:rPr>
        <w:t xml:space="preserve">– </w:t>
      </w:r>
      <w:r>
        <w:rPr>
          <w:rFonts w:eastAsia="TimesNewRomanPSMT"/>
          <w:sz w:val="28"/>
          <w:szCs w:val="28"/>
          <w:lang w:eastAsia="en-US"/>
        </w:rPr>
        <w:t xml:space="preserve">912 </w:t>
      </w:r>
      <w:r>
        <w:rPr>
          <w:rFonts w:eastAsia="TimesNewRomanPSMT"/>
          <w:sz w:val="28"/>
          <w:szCs w:val="28"/>
          <w:lang w:eastAsia="en-US"/>
        </w:rPr>
        <w:t xml:space="preserve">человек.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</w:r>
      <w:r>
        <w:rPr>
          <w:rFonts w:eastAsia="TimesNewRomanPSMT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TimesNewRomanPS-ItalicMT"/>
          <w:sz w:val="28"/>
          <w:szCs w:val="28"/>
          <w:lang w:eastAsia="en-US"/>
        </w:rPr>
      </w:pPr>
      <w:r>
        <w:rPr>
          <w:rFonts w:eastAsia="TimesNewRomanPS-ItalicMT"/>
          <w:b/>
          <w:iCs/>
          <w:sz w:val="28"/>
          <w:szCs w:val="28"/>
          <w:lang w:eastAsia="en-US"/>
        </w:rPr>
        <w:t xml:space="preserve">Численность самозанятых граждан</w:t>
      </w:r>
      <w:r>
        <w:rPr>
          <w:rFonts w:eastAsia="TimesNewRomanPS-ItalicMT"/>
          <w:iCs/>
          <w:sz w:val="28"/>
          <w:szCs w:val="28"/>
          <w:lang w:eastAsia="en-US"/>
        </w:rPr>
        <w:t xml:space="preserve">, зафиксировавших свой статус и</w:t>
      </w:r>
      <w:r>
        <w:rPr>
          <w:rFonts w:eastAsia="TimesNewRomanPS-ItalicMT"/>
          <w:iCs/>
          <w:sz w:val="28"/>
          <w:szCs w:val="28"/>
          <w:lang w:eastAsia="en-US"/>
        </w:rPr>
        <w:t xml:space="preserve"> </w:t>
      </w:r>
      <w:r>
        <w:rPr>
          <w:rFonts w:eastAsia="TimesNewRomanPS-ItalicMT"/>
          <w:iCs/>
          <w:sz w:val="28"/>
          <w:szCs w:val="28"/>
          <w:lang w:eastAsia="en-US"/>
        </w:rPr>
        <w:t xml:space="preserve">применяющих специальный налоговый режим </w:t>
      </w:r>
      <w:r>
        <w:rPr>
          <w:rFonts w:eastAsia="TimesNewRomanPS-ItalicMT"/>
          <w:iCs/>
          <w:sz w:val="28"/>
          <w:szCs w:val="28"/>
          <w:lang w:eastAsia="en-US"/>
        </w:rPr>
        <w:t xml:space="preserve">«</w:t>
      </w:r>
      <w:r>
        <w:rPr>
          <w:rFonts w:eastAsia="TimesNewRomanPS-ItalicMT"/>
          <w:iCs/>
          <w:sz w:val="28"/>
          <w:szCs w:val="28"/>
          <w:lang w:eastAsia="en-US"/>
        </w:rPr>
        <w:t xml:space="preserve">Налог на профессиональный доход</w:t>
      </w:r>
      <w:r>
        <w:rPr>
          <w:rFonts w:eastAsia="TimesNewRomanPS-ItalicMT"/>
          <w:iCs/>
          <w:sz w:val="28"/>
          <w:szCs w:val="28"/>
          <w:lang w:eastAsia="en-US"/>
        </w:rPr>
        <w:t xml:space="preserve">»</w:t>
      </w:r>
      <w:r>
        <w:rPr>
          <w:rFonts w:eastAsia="TimesNewRomanPS-ItalicMT"/>
          <w:iCs/>
          <w:sz w:val="28"/>
          <w:szCs w:val="28"/>
          <w:vertAlign w:val="superscript"/>
          <w:lang w:eastAsia="en-US"/>
        </w:rPr>
        <w:footnoteReference w:id="167"/>
      </w:r>
      <w:r>
        <w:rPr>
          <w:rFonts w:eastAsia="TimesNewRomanPS-ItalicMT"/>
          <w:iCs/>
          <w:sz w:val="28"/>
          <w:szCs w:val="28"/>
          <w:lang w:eastAsia="en-US"/>
        </w:rPr>
        <w:t xml:space="preserve">, </w:t>
      </w:r>
      <w:r>
        <w:rPr>
          <w:rFonts w:eastAsia="TimesNewRomanPSMT"/>
          <w:sz w:val="28"/>
          <w:szCs w:val="28"/>
          <w:lang w:eastAsia="en-US"/>
        </w:rPr>
        <w:t xml:space="preserve">по состоянию на </w:t>
      </w:r>
      <w:r>
        <w:rPr>
          <w:rFonts w:eastAsia="TimesNewRomanPSMT"/>
          <w:sz w:val="28"/>
          <w:szCs w:val="28"/>
          <w:lang w:eastAsia="en-US"/>
        </w:rPr>
        <w:t xml:space="preserve">31 марта 2026</w:t>
      </w:r>
      <w:r>
        <w:rPr>
          <w:rFonts w:eastAsia="TimesNewRomanPSMT"/>
          <w:sz w:val="28"/>
          <w:szCs w:val="28"/>
          <w:lang w:eastAsia="en-US"/>
        </w:rPr>
        <w:t xml:space="preserve"> года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– </w:t>
      </w:r>
      <w:r>
        <w:rPr>
          <w:rFonts w:eastAsia="TimesNewRomanPSMT"/>
          <w:sz w:val="28"/>
          <w:szCs w:val="28"/>
          <w:lang w:eastAsia="en-US"/>
        </w:rPr>
        <w:t xml:space="preserve">2 105 </w:t>
      </w:r>
      <w:r>
        <w:rPr>
          <w:rFonts w:eastAsia="TimesNewRomanPSMT"/>
          <w:sz w:val="28"/>
          <w:szCs w:val="28"/>
          <w:lang w:eastAsia="en-US"/>
        </w:rPr>
        <w:t xml:space="preserve">человек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(</w:t>
      </w:r>
      <w:r>
        <w:rPr>
          <w:rFonts w:eastAsia="TimesNewRomanPSMT"/>
          <w:sz w:val="28"/>
          <w:szCs w:val="28"/>
          <w:lang w:eastAsia="en-US"/>
        </w:rPr>
        <w:t xml:space="preserve">2 012 </w:t>
      </w:r>
      <w:r>
        <w:rPr>
          <w:rFonts w:eastAsia="TimesNewRomanPSMT"/>
          <w:sz w:val="28"/>
          <w:szCs w:val="28"/>
          <w:lang w:eastAsia="en-US"/>
        </w:rPr>
        <w:t xml:space="preserve">человек – физические лица, </w:t>
      </w:r>
      <w:r>
        <w:rPr>
          <w:rFonts w:eastAsia="TimesNewRomanPSMT"/>
          <w:sz w:val="28"/>
          <w:szCs w:val="28"/>
          <w:lang w:eastAsia="en-US"/>
        </w:rPr>
        <w:t xml:space="preserve">93</w:t>
      </w:r>
      <w:r>
        <w:rPr>
          <w:rFonts w:eastAsia="TimesNewRomanPSMT"/>
          <w:sz w:val="28"/>
          <w:szCs w:val="28"/>
          <w:lang w:eastAsia="en-US"/>
        </w:rPr>
        <w:t xml:space="preserve"> человек</w:t>
      </w:r>
      <w:r>
        <w:rPr>
          <w:rFonts w:eastAsia="TimesNewRomanPSMT"/>
          <w:sz w:val="28"/>
          <w:szCs w:val="28"/>
          <w:lang w:eastAsia="en-US"/>
        </w:rPr>
        <w:t xml:space="preserve">а</w:t>
      </w:r>
      <w:r>
        <w:rPr>
          <w:rFonts w:eastAsia="TimesNewRomanPSMT"/>
          <w:sz w:val="28"/>
          <w:szCs w:val="28"/>
          <w:lang w:eastAsia="en-US"/>
        </w:rPr>
        <w:t xml:space="preserve"> – индивидуальные предприниматели).</w:t>
      </w:r>
      <w:r>
        <w:rPr>
          <w:rFonts w:eastAsia="TimesNewRomanPS-ItalicMT"/>
          <w:sz w:val="28"/>
          <w:szCs w:val="28"/>
          <w:lang w:eastAsia="en-US"/>
        </w:rPr>
      </w:r>
      <w:r>
        <w:rPr>
          <w:rFonts w:eastAsia="TimesNewRomanPS-ItalicMT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/>
          <w:sz w:val="28"/>
          <w:szCs w:val="28"/>
          <w:lang w:eastAsia="ar-SA"/>
        </w:rPr>
      </w:pPr>
      <w:r>
        <w:rPr>
          <w:rFonts w:eastAsia="DejaVu Sans"/>
          <w:b/>
          <w:sz w:val="28"/>
          <w:szCs w:val="28"/>
          <w:lang w:eastAsia="ar-SA"/>
        </w:rPr>
        <w:t xml:space="preserve">Уровень регистрируемой безработицы</w:t>
      </w:r>
      <w:r>
        <w:rPr>
          <w:rFonts w:eastAsia="DejaVu Sans"/>
          <w:sz w:val="28"/>
          <w:szCs w:val="28"/>
          <w:lang w:eastAsia="ar-SA"/>
        </w:rPr>
        <w:t xml:space="preserve"> по состоянию </w:t>
      </w:r>
      <w:r>
        <w:rPr>
          <w:rFonts w:eastAsia="DejaVu Sans"/>
          <w:sz w:val="28"/>
          <w:szCs w:val="28"/>
          <w:lang w:eastAsia="ar-SA"/>
        </w:rPr>
        <w:t xml:space="preserve">на 1 </w:t>
      </w:r>
      <w:r>
        <w:rPr>
          <w:rFonts w:eastAsia="DejaVu Sans"/>
          <w:sz w:val="28"/>
          <w:szCs w:val="28"/>
          <w:lang w:eastAsia="ar-SA"/>
        </w:rPr>
        <w:t xml:space="preserve">апреля </w:t>
      </w:r>
      <w:r>
        <w:rPr>
          <w:rFonts w:eastAsia="DejaVu Sans"/>
          <w:sz w:val="28"/>
          <w:szCs w:val="28"/>
          <w:lang w:eastAsia="ar-SA"/>
        </w:rPr>
        <w:t xml:space="preserve">202</w:t>
      </w:r>
      <w:r>
        <w:rPr>
          <w:rFonts w:eastAsia="DejaVu Sans"/>
          <w:sz w:val="28"/>
          <w:szCs w:val="28"/>
          <w:lang w:eastAsia="ar-SA"/>
        </w:rPr>
        <w:t xml:space="preserve">6</w:t>
      </w:r>
      <w:r>
        <w:rPr>
          <w:rFonts w:eastAsia="DejaVu Sans"/>
          <w:sz w:val="28"/>
          <w:szCs w:val="28"/>
          <w:lang w:eastAsia="ar-SA"/>
        </w:rPr>
        <w:t xml:space="preserve"> года составил 0,</w:t>
      </w:r>
      <w:r>
        <w:rPr>
          <w:rFonts w:eastAsia="DejaVu Sans"/>
          <w:sz w:val="28"/>
          <w:szCs w:val="28"/>
          <w:lang w:eastAsia="ar-SA"/>
        </w:rPr>
        <w:t xml:space="preserve">6 </w:t>
      </w:r>
      <w:r>
        <w:rPr>
          <w:rFonts w:eastAsia="DejaVu Sans"/>
          <w:sz w:val="28"/>
          <w:szCs w:val="28"/>
          <w:lang w:eastAsia="ar-SA"/>
        </w:rPr>
        <w:t xml:space="preserve">%, </w:t>
      </w:r>
      <w:r>
        <w:rPr>
          <w:rFonts w:eastAsia="DejaVu Sans"/>
          <w:sz w:val="28"/>
          <w:szCs w:val="28"/>
          <w:lang w:eastAsia="ar-SA"/>
        </w:rPr>
        <w:t xml:space="preserve">что соответствует уровню аналогичного периода. </w:t>
      </w:r>
      <w:r>
        <w:rPr>
          <w:rFonts w:eastAsia="DejaVu Sans"/>
          <w:sz w:val="28"/>
          <w:szCs w:val="28"/>
          <w:lang w:eastAsia="ar-SA"/>
        </w:rPr>
        <w:t xml:space="preserve">В качестве безработных зарегистрированы и получают пособие </w:t>
      </w:r>
      <w:r>
        <w:rPr>
          <w:rFonts w:eastAsia="DejaVu Sans"/>
          <w:sz w:val="28"/>
          <w:szCs w:val="28"/>
          <w:lang w:eastAsia="ar-SA"/>
        </w:rPr>
        <w:t xml:space="preserve">1</w:t>
      </w:r>
      <w:r>
        <w:rPr>
          <w:rFonts w:eastAsia="DejaVu Sans"/>
          <w:sz w:val="28"/>
          <w:szCs w:val="28"/>
          <w:lang w:eastAsia="ar-SA"/>
        </w:rPr>
        <w:t xml:space="preserve">7</w:t>
      </w:r>
      <w:r>
        <w:rPr>
          <w:rFonts w:eastAsia="DejaVu Sans"/>
          <w:sz w:val="28"/>
          <w:szCs w:val="28"/>
          <w:lang w:eastAsia="ar-SA"/>
        </w:rPr>
        <w:t xml:space="preserve">2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человека, в аналогичном периоде прошлого года</w:t>
      </w:r>
      <w:r>
        <w:rPr>
          <w:rFonts w:eastAsia="DejaVu Sans"/>
          <w:sz w:val="28"/>
          <w:szCs w:val="28"/>
          <w:lang w:eastAsia="ar-SA"/>
        </w:rPr>
        <w:t xml:space="preserve"> </w:t>
      </w:r>
      <w:r>
        <w:rPr>
          <w:rFonts w:eastAsia="DejaVu Sans"/>
          <w:sz w:val="28"/>
          <w:szCs w:val="28"/>
          <w:lang w:eastAsia="ar-SA"/>
        </w:rPr>
        <w:t xml:space="preserve">– </w:t>
      </w:r>
      <w:r>
        <w:rPr>
          <w:rFonts w:eastAsia="DejaVu Sans"/>
          <w:sz w:val="28"/>
          <w:szCs w:val="28"/>
          <w:lang w:eastAsia="ar-SA"/>
        </w:rPr>
        <w:t xml:space="preserve">1</w:t>
      </w:r>
      <w:r>
        <w:rPr>
          <w:rFonts w:eastAsia="DejaVu Sans"/>
          <w:sz w:val="28"/>
          <w:szCs w:val="28"/>
          <w:lang w:eastAsia="ar-SA"/>
        </w:rPr>
        <w:t xml:space="preserve">92</w:t>
      </w:r>
      <w:r>
        <w:rPr>
          <w:rFonts w:eastAsia="DejaVu Sans"/>
          <w:sz w:val="28"/>
          <w:szCs w:val="28"/>
          <w:lang w:eastAsia="ar-SA"/>
        </w:rPr>
        <w:t xml:space="preserve"> человек</w:t>
      </w:r>
      <w:r>
        <w:rPr>
          <w:rFonts w:eastAsia="DejaVu Sans"/>
          <w:sz w:val="28"/>
          <w:szCs w:val="28"/>
          <w:lang w:eastAsia="ar-SA"/>
        </w:rPr>
        <w:t xml:space="preserve">а</w:t>
      </w:r>
      <w:r>
        <w:rPr>
          <w:rFonts w:eastAsia="DejaVu Sans"/>
          <w:sz w:val="28"/>
          <w:szCs w:val="28"/>
          <w:lang w:eastAsia="ar-SA"/>
        </w:rPr>
        <w:t xml:space="preserve">. Заявленная работодателями потребность в</w:t>
      </w:r>
      <w:r>
        <w:rPr>
          <w:rFonts w:eastAsia="DejaVu Sans"/>
          <w:sz w:val="28"/>
          <w:szCs w:val="28"/>
          <w:lang w:eastAsia="ar-SA"/>
        </w:rPr>
        <w:t xml:space="preserve"> </w:t>
      </w:r>
      <w:r>
        <w:rPr>
          <w:rFonts w:eastAsia="DejaVu Sans"/>
          <w:sz w:val="28"/>
          <w:szCs w:val="28"/>
          <w:lang w:eastAsia="ar-SA"/>
        </w:rPr>
        <w:t xml:space="preserve">работниках – </w:t>
      </w:r>
      <w:r>
        <w:rPr>
          <w:rFonts w:eastAsia="DejaVu Sans"/>
          <w:sz w:val="28"/>
          <w:szCs w:val="28"/>
          <w:lang w:eastAsia="ar-SA"/>
        </w:rPr>
        <w:t xml:space="preserve">1 709</w:t>
      </w:r>
      <w:r>
        <w:rPr>
          <w:rFonts w:eastAsia="DejaVu Sans"/>
          <w:sz w:val="28"/>
          <w:szCs w:val="28"/>
          <w:lang w:eastAsia="ar-SA"/>
        </w:rPr>
        <w:t xml:space="preserve"> вакантн</w:t>
      </w:r>
      <w:r>
        <w:rPr>
          <w:rFonts w:eastAsia="DejaVu Sans"/>
          <w:sz w:val="28"/>
          <w:szCs w:val="28"/>
          <w:lang w:eastAsia="ar-SA"/>
        </w:rPr>
        <w:t xml:space="preserve">ых </w:t>
      </w:r>
      <w:r>
        <w:rPr>
          <w:rFonts w:eastAsia="DejaVu Sans"/>
          <w:sz w:val="28"/>
          <w:szCs w:val="28"/>
          <w:lang w:eastAsia="ar-SA"/>
        </w:rPr>
        <w:t xml:space="preserve">рабоч</w:t>
      </w:r>
      <w:r>
        <w:rPr>
          <w:rFonts w:eastAsia="DejaVu Sans"/>
          <w:sz w:val="28"/>
          <w:szCs w:val="28"/>
          <w:lang w:eastAsia="ar-SA"/>
        </w:rPr>
        <w:t xml:space="preserve">их </w:t>
      </w:r>
      <w:r>
        <w:rPr>
          <w:rFonts w:eastAsia="DejaVu Sans"/>
          <w:sz w:val="28"/>
          <w:szCs w:val="28"/>
          <w:lang w:eastAsia="ar-SA"/>
        </w:rPr>
        <w:t xml:space="preserve">мест</w:t>
      </w:r>
      <w:r>
        <w:rPr>
          <w:rFonts w:eastAsia="DejaVu Sans"/>
          <w:sz w:val="28"/>
          <w:szCs w:val="28"/>
          <w:lang w:eastAsia="ar-SA"/>
        </w:rPr>
        <w:t xml:space="preserve">,</w:t>
      </w:r>
      <w:r>
        <w:rPr>
          <w:rFonts w:eastAsia="DejaVu Sans"/>
          <w:sz w:val="28"/>
          <w:szCs w:val="28"/>
          <w:lang w:eastAsia="ar-SA"/>
        </w:rPr>
        <w:t xml:space="preserve"> </w:t>
      </w:r>
      <w:r>
        <w:rPr>
          <w:rFonts w:eastAsia="DejaVu Sans"/>
          <w:sz w:val="28"/>
          <w:szCs w:val="28"/>
          <w:lang w:eastAsia="ar-SA"/>
        </w:rPr>
        <w:t xml:space="preserve">что на </w:t>
      </w:r>
      <w:r>
        <w:rPr>
          <w:rFonts w:eastAsia="DejaVu Sans"/>
          <w:sz w:val="28"/>
          <w:szCs w:val="28"/>
          <w:lang w:eastAsia="ar-SA"/>
        </w:rPr>
        <w:t xml:space="preserve">43,7 </w:t>
      </w:r>
      <w:r>
        <w:rPr>
          <w:rFonts w:eastAsia="DejaVu Sans"/>
          <w:sz w:val="28"/>
          <w:szCs w:val="28"/>
          <w:lang w:eastAsia="ar-SA"/>
        </w:rPr>
        <w:t xml:space="preserve">% </w:t>
      </w:r>
      <w:r>
        <w:rPr>
          <w:rFonts w:eastAsia="DejaVu Sans"/>
          <w:sz w:val="28"/>
          <w:szCs w:val="28"/>
          <w:lang w:eastAsia="ar-SA"/>
        </w:rPr>
        <w:t xml:space="preserve">выше </w:t>
      </w:r>
      <w:r>
        <w:rPr>
          <w:rFonts w:eastAsia="DejaVu Sans"/>
          <w:sz w:val="28"/>
          <w:szCs w:val="28"/>
          <w:lang w:eastAsia="ar-SA"/>
        </w:rPr>
        <w:t xml:space="preserve">аналогичного периода 202</w:t>
      </w:r>
      <w:r>
        <w:rPr>
          <w:rFonts w:eastAsia="DejaVu Sans"/>
          <w:sz w:val="28"/>
          <w:szCs w:val="28"/>
          <w:lang w:eastAsia="ar-SA"/>
        </w:rPr>
        <w:t xml:space="preserve">5</w:t>
      </w:r>
      <w:r>
        <w:rPr>
          <w:rFonts w:eastAsia="DejaVu Sans"/>
          <w:sz w:val="28"/>
          <w:szCs w:val="28"/>
          <w:lang w:eastAsia="ar-SA"/>
        </w:rPr>
        <w:t xml:space="preserve"> года</w:t>
      </w:r>
      <w:r>
        <w:rPr>
          <w:rFonts w:eastAsia="DejaVu Sans"/>
          <w:sz w:val="28"/>
          <w:szCs w:val="28"/>
          <w:lang w:eastAsia="ar-SA"/>
        </w:rPr>
        <w:t xml:space="preserve"> (1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189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вакантных рабочих мест)</w:t>
      </w:r>
      <w:r>
        <w:rPr>
          <w:rFonts w:eastAsia="DejaVu Sans"/>
          <w:sz w:val="28"/>
          <w:szCs w:val="28"/>
          <w:lang w:eastAsia="ar-SA"/>
        </w:rPr>
        <w:t xml:space="preserve">.</w:t>
      </w:r>
      <w:r>
        <w:rPr>
          <w:rFonts w:eastAsia="DejaVu Sans"/>
          <w:sz w:val="28"/>
          <w:szCs w:val="28"/>
          <w:lang w:eastAsia="ar-SA"/>
        </w:rPr>
      </w:r>
      <w:r>
        <w:rPr>
          <w:rFonts w:eastAsia="DejaVu Sans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/>
          <w:sz w:val="28"/>
          <w:szCs w:val="28"/>
          <w:lang w:eastAsia="ar-SA"/>
        </w:rPr>
      </w:pPr>
      <w:r>
        <w:rPr>
          <w:rFonts w:eastAsia="DejaVu Sans"/>
          <w:b/>
          <w:sz w:val="28"/>
          <w:szCs w:val="28"/>
          <w:lang w:eastAsia="ar-SA"/>
        </w:rPr>
        <w:t xml:space="preserve">Инфляция</w:t>
      </w:r>
      <w:r>
        <w:rPr>
          <w:rFonts w:eastAsia="DejaVu Sans"/>
          <w:sz w:val="28"/>
          <w:szCs w:val="28"/>
          <w:lang w:eastAsia="ar-SA"/>
        </w:rPr>
        <w:t xml:space="preserve"> в Чукотском автономном округе</w:t>
      </w:r>
      <w:r>
        <w:rPr>
          <w:rFonts w:eastAsia="DejaVu Sans"/>
          <w:sz w:val="28"/>
          <w:szCs w:val="28"/>
          <w:lang w:eastAsia="ar-SA"/>
        </w:rPr>
        <w:t xml:space="preserve"> </w:t>
      </w:r>
      <w:r>
        <w:rPr>
          <w:rFonts w:eastAsia="DejaVu Sans"/>
          <w:sz w:val="28"/>
          <w:szCs w:val="28"/>
          <w:lang w:eastAsia="ar-SA"/>
        </w:rPr>
        <w:t xml:space="preserve">ускоряется третий </w:t>
      </w:r>
      <w:r>
        <w:rPr>
          <w:rFonts w:eastAsia="DejaVu Sans"/>
          <w:sz w:val="28"/>
          <w:szCs w:val="28"/>
          <w:lang w:eastAsia="ar-SA"/>
        </w:rPr>
        <w:t xml:space="preserve">месяц подряд и в </w:t>
      </w:r>
      <w:r>
        <w:rPr>
          <w:rFonts w:eastAsia="DejaVu Sans"/>
          <w:sz w:val="28"/>
          <w:szCs w:val="28"/>
          <w:lang w:eastAsia="ar-SA"/>
        </w:rPr>
        <w:t xml:space="preserve">марте </w:t>
      </w:r>
      <w:r>
        <w:rPr>
          <w:rFonts w:eastAsia="DejaVu Sans"/>
          <w:sz w:val="28"/>
          <w:szCs w:val="28"/>
          <w:lang w:eastAsia="ar-SA"/>
        </w:rPr>
        <w:t xml:space="preserve">202</w:t>
      </w:r>
      <w:r>
        <w:rPr>
          <w:rFonts w:eastAsia="DejaVu Sans"/>
          <w:sz w:val="28"/>
          <w:szCs w:val="28"/>
          <w:lang w:eastAsia="ar-SA"/>
        </w:rPr>
        <w:t xml:space="preserve">6</w:t>
      </w:r>
      <w:r>
        <w:rPr>
          <w:rFonts w:eastAsia="DejaVu Sans"/>
          <w:sz w:val="28"/>
          <w:szCs w:val="28"/>
          <w:lang w:eastAsia="ar-SA"/>
        </w:rPr>
        <w:t xml:space="preserve"> года составила </w:t>
      </w:r>
      <w:r>
        <w:rPr>
          <w:rFonts w:eastAsia="DejaVu Sans"/>
          <w:sz w:val="28"/>
          <w:szCs w:val="28"/>
          <w:lang w:eastAsia="ar-SA"/>
        </w:rPr>
        <w:t xml:space="preserve">3,95 </w:t>
      </w:r>
      <w:r>
        <w:rPr>
          <w:rFonts w:eastAsia="DejaVu Sans"/>
          <w:sz w:val="28"/>
          <w:szCs w:val="28"/>
          <w:lang w:eastAsia="ar-SA"/>
        </w:rPr>
        <w:t xml:space="preserve">% после </w:t>
      </w:r>
      <w:r>
        <w:rPr>
          <w:rFonts w:eastAsia="DejaVu Sans"/>
          <w:sz w:val="28"/>
          <w:szCs w:val="28"/>
          <w:lang w:eastAsia="ar-SA"/>
        </w:rPr>
        <w:t xml:space="preserve">3,74 </w:t>
      </w:r>
      <w:r>
        <w:rPr>
          <w:rFonts w:eastAsia="DejaVu Sans"/>
          <w:sz w:val="28"/>
          <w:szCs w:val="28"/>
          <w:lang w:eastAsia="ar-SA"/>
        </w:rPr>
        <w:t xml:space="preserve">% в </w:t>
      </w:r>
      <w:r>
        <w:rPr>
          <w:rFonts w:eastAsia="DejaVu Sans"/>
          <w:sz w:val="28"/>
          <w:szCs w:val="28"/>
          <w:lang w:eastAsia="ar-SA"/>
        </w:rPr>
        <w:t xml:space="preserve">январе и 3,77 % в феврале </w:t>
      </w:r>
      <w:r>
        <w:rPr>
          <w:rFonts w:eastAsia="DejaVu Sans"/>
          <w:sz w:val="28"/>
          <w:szCs w:val="28"/>
          <w:lang w:eastAsia="ar-SA"/>
        </w:rPr>
        <w:t xml:space="preserve">текущего</w:t>
      </w:r>
      <w:r>
        <w:rPr>
          <w:rFonts w:eastAsia="DejaVu Sans"/>
          <w:sz w:val="28"/>
          <w:szCs w:val="28"/>
          <w:lang w:eastAsia="ar-SA"/>
        </w:rPr>
        <w:t xml:space="preserve"> года</w:t>
      </w:r>
      <w:r>
        <w:rPr>
          <w:rFonts w:eastAsia="DejaVu Sans"/>
          <w:sz w:val="28"/>
          <w:szCs w:val="28"/>
          <w:lang w:eastAsia="ar-SA"/>
        </w:rPr>
        <w:t xml:space="preserve">. Уровень инфляции в округе ниже значений по Дальневосточному федеральному округу (</w:t>
      </w:r>
      <w:r>
        <w:rPr>
          <w:rFonts w:eastAsia="DejaVu Sans"/>
          <w:sz w:val="28"/>
          <w:szCs w:val="28"/>
          <w:lang w:eastAsia="ar-SA"/>
        </w:rPr>
        <w:t xml:space="preserve">6,78 </w:t>
      </w:r>
      <w:r>
        <w:rPr>
          <w:rFonts w:eastAsia="DejaVu Sans"/>
          <w:sz w:val="28"/>
          <w:szCs w:val="28"/>
          <w:lang w:eastAsia="ar-SA"/>
        </w:rPr>
        <w:t xml:space="preserve">%) и по</w:t>
      </w:r>
      <w:r>
        <w:rPr>
          <w:rFonts w:eastAsia="DejaVu Sans"/>
          <w:sz w:val="28"/>
          <w:szCs w:val="28"/>
          <w:lang w:eastAsia="ar-SA"/>
        </w:rPr>
        <w:t xml:space="preserve"> </w:t>
      </w:r>
      <w:r>
        <w:rPr>
          <w:rFonts w:eastAsia="DejaVu Sans"/>
          <w:sz w:val="28"/>
          <w:szCs w:val="28"/>
          <w:lang w:eastAsia="ar-SA"/>
        </w:rPr>
        <w:t xml:space="preserve">стране в</w:t>
      </w:r>
      <w:r>
        <w:rPr>
          <w:rFonts w:eastAsia="DejaVu Sans"/>
          <w:sz w:val="28"/>
          <w:szCs w:val="28"/>
          <w:lang w:eastAsia="ar-SA"/>
        </w:rPr>
        <w:t xml:space="preserve"> </w:t>
      </w:r>
      <w:r>
        <w:rPr>
          <w:rFonts w:eastAsia="DejaVu Sans"/>
          <w:sz w:val="28"/>
          <w:szCs w:val="28"/>
          <w:lang w:eastAsia="ar-SA"/>
        </w:rPr>
        <w:t xml:space="preserve">целом (</w:t>
      </w:r>
      <w:r>
        <w:rPr>
          <w:rFonts w:eastAsia="DejaVu Sans"/>
          <w:sz w:val="28"/>
          <w:szCs w:val="28"/>
          <w:lang w:eastAsia="ar-SA"/>
        </w:rPr>
        <w:t xml:space="preserve">5,86 </w:t>
      </w:r>
      <w:r>
        <w:rPr>
          <w:rFonts w:eastAsia="DejaVu Sans"/>
          <w:sz w:val="28"/>
          <w:szCs w:val="28"/>
          <w:lang w:eastAsia="ar-SA"/>
        </w:rPr>
        <w:t xml:space="preserve">%). </w:t>
      </w:r>
      <w:r>
        <w:rPr>
          <w:rFonts w:eastAsia="DejaVu Sans"/>
          <w:sz w:val="28"/>
          <w:szCs w:val="28"/>
          <w:lang w:eastAsia="ar-SA"/>
        </w:rPr>
      </w:r>
      <w:r>
        <w:rPr>
          <w:rFonts w:eastAsia="DejaVu Sans"/>
          <w:sz w:val="28"/>
          <w:szCs w:val="28"/>
          <w:lang w:eastAsia="ar-SA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2. </w:t>
      </w:r>
      <w:r>
        <w:rPr>
          <w:b/>
          <w:sz w:val="28"/>
          <w:szCs w:val="28"/>
        </w:rPr>
        <w:t xml:space="preserve">Общая характеристика </w:t>
      </w:r>
      <w:r>
        <w:rPr>
          <w:b/>
          <w:sz w:val="28"/>
          <w:szCs w:val="28"/>
        </w:rPr>
        <w:br/>
        <w:t xml:space="preserve">исполнения окружного бюджета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акон об окружном бюджете </w:t>
      </w:r>
      <w:r>
        <w:rPr>
          <w:sz w:val="28"/>
          <w:szCs w:val="28"/>
        </w:rPr>
        <w:t xml:space="preserve">в отчетном периоде изменения вносились </w:t>
      </w:r>
      <w:r>
        <w:rPr>
          <w:sz w:val="28"/>
          <w:szCs w:val="28"/>
        </w:rPr>
        <w:t xml:space="preserve">один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</w:t>
      </w:r>
      <w:r>
        <w:rPr>
          <w:rStyle w:val="4381"/>
          <w:sz w:val="28"/>
          <w:szCs w:val="28"/>
        </w:rPr>
        <w:footnoteReference w:id="168"/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Внесенные изменения не затронули основные характеристики окружного бюджета. Д</w:t>
      </w:r>
      <w:r>
        <w:rPr>
          <w:sz w:val="28"/>
          <w:szCs w:val="28"/>
        </w:rPr>
        <w:t xml:space="preserve">оходы окружного бюджета утверждены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объеме </w:t>
      </w:r>
      <w:r>
        <w:rPr>
          <w:sz w:val="28"/>
          <w:szCs w:val="28"/>
        </w:rPr>
        <w:t xml:space="preserve">60 869 037,2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рублей, расходы – </w:t>
      </w:r>
      <w:r>
        <w:rPr>
          <w:sz w:val="28"/>
          <w:szCs w:val="28"/>
        </w:rPr>
        <w:t xml:space="preserve">64 087 734,3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рублей, дефицит окружного бюджета определен в размере </w:t>
      </w:r>
      <w:r>
        <w:rPr>
          <w:sz w:val="28"/>
          <w:szCs w:val="28"/>
        </w:rPr>
        <w:t xml:space="preserve">3 218 697,1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Внесены и</w:t>
      </w:r>
      <w:r>
        <w:rPr>
          <w:rFonts w:eastAsia="Calibri"/>
          <w:sz w:val="28"/>
          <w:szCs w:val="28"/>
        </w:rPr>
        <w:t xml:space="preserve">зменения </w:t>
      </w:r>
      <w:r>
        <w:rPr>
          <w:rFonts w:eastAsia="Calibri"/>
          <w:sz w:val="28"/>
          <w:szCs w:val="28"/>
        </w:rPr>
        <w:t xml:space="preserve">в</w:t>
      </w:r>
      <w:r>
        <w:rPr>
          <w:rFonts w:eastAsia="Calibri"/>
          <w:sz w:val="28"/>
          <w:szCs w:val="28"/>
        </w:rPr>
        <w:t xml:space="preserve"> источник</w:t>
      </w:r>
      <w:r>
        <w:rPr>
          <w:rFonts w:eastAsia="Calibri"/>
          <w:sz w:val="28"/>
          <w:szCs w:val="28"/>
        </w:rPr>
        <w:t xml:space="preserve">и</w:t>
      </w:r>
      <w:r>
        <w:rPr>
          <w:rFonts w:eastAsia="Calibri"/>
          <w:sz w:val="28"/>
          <w:szCs w:val="28"/>
        </w:rPr>
        <w:t xml:space="preserve"> финансирования дефицита окружного бюджета в 2026 году</w:t>
      </w:r>
      <w:r>
        <w:rPr>
          <w:rFonts w:eastAsia="Calibri"/>
          <w:sz w:val="28"/>
          <w:szCs w:val="28"/>
        </w:rPr>
        <w:t xml:space="preserve">, что связано</w:t>
      </w:r>
      <w:r>
        <w:rPr>
          <w:rFonts w:eastAsia="Calibri"/>
          <w:sz w:val="28"/>
          <w:szCs w:val="28"/>
        </w:rPr>
        <w:t xml:space="preserve"> с привлечением казначейского кредита на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sz w:val="28"/>
          <w:szCs w:val="28"/>
        </w:rPr>
        <w:t xml:space="preserve">пополнение остатка средств на едином счете бюджета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увеличением </w:t>
      </w:r>
      <w:r>
        <w:rPr>
          <w:rFonts w:eastAsia="Calibri"/>
          <w:sz w:val="28"/>
          <w:szCs w:val="28"/>
        </w:rPr>
        <w:t xml:space="preserve">размера </w:t>
      </w:r>
      <w:r>
        <w:rPr>
          <w:rFonts w:eastAsia="Calibri"/>
          <w:sz w:val="28"/>
          <w:szCs w:val="28"/>
        </w:rPr>
        <w:t xml:space="preserve">бюджетного кредита Акционерному обществу «</w:t>
      </w:r>
      <w:r>
        <w:rPr>
          <w:rFonts w:eastAsia="Calibri"/>
          <w:sz w:val="28"/>
          <w:szCs w:val="28"/>
        </w:rPr>
        <w:t xml:space="preserve">Чукотснаб</w:t>
      </w:r>
      <w:r>
        <w:rPr>
          <w:rFonts w:eastAsia="Calibri"/>
          <w:sz w:val="28"/>
          <w:szCs w:val="28"/>
        </w:rPr>
        <w:t xml:space="preserve">» и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sz w:val="28"/>
          <w:szCs w:val="28"/>
        </w:rPr>
        <w:t xml:space="preserve">уменьшением </w:t>
      </w:r>
      <w:r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sz w:val="28"/>
          <w:szCs w:val="28"/>
        </w:rPr>
        <w:t xml:space="preserve">Обществу с ограниченной ответственностью «</w:t>
      </w:r>
      <w:r>
        <w:rPr>
          <w:rFonts w:eastAsia="Calibri"/>
          <w:sz w:val="28"/>
          <w:szCs w:val="28"/>
        </w:rPr>
        <w:t xml:space="preserve">Чукотоптторг</w:t>
      </w:r>
      <w:r>
        <w:rPr>
          <w:rFonts w:eastAsia="Calibri"/>
          <w:sz w:val="28"/>
          <w:szCs w:val="28"/>
        </w:rPr>
        <w:t xml:space="preserve">»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увеличен</w:t>
      </w:r>
      <w:r>
        <w:rPr>
          <w:rFonts w:eastAsia="Calibri"/>
          <w:sz w:val="28"/>
          <w:szCs w:val="28"/>
        </w:rPr>
        <w:t xml:space="preserve">ием</w:t>
      </w:r>
      <w:r>
        <w:rPr>
          <w:rFonts w:eastAsia="Calibri"/>
          <w:sz w:val="28"/>
          <w:szCs w:val="28"/>
        </w:rPr>
        <w:t xml:space="preserve"> объем</w:t>
      </w:r>
      <w:r>
        <w:rPr>
          <w:rFonts w:eastAsia="Calibri"/>
          <w:sz w:val="28"/>
          <w:szCs w:val="28"/>
        </w:rPr>
        <w:t xml:space="preserve">а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государственных </w:t>
      </w:r>
      <w:r>
        <w:rPr>
          <w:rFonts w:eastAsia="Calibri"/>
          <w:sz w:val="28"/>
          <w:szCs w:val="28"/>
        </w:rPr>
        <w:t xml:space="preserve">гаранти</w:t>
      </w:r>
      <w:r>
        <w:rPr>
          <w:rFonts w:eastAsia="Calibri"/>
          <w:sz w:val="28"/>
          <w:szCs w:val="28"/>
        </w:rPr>
        <w:t xml:space="preserve">й</w:t>
      </w:r>
      <w:r>
        <w:rPr>
          <w:rFonts w:eastAsia="Calibri"/>
          <w:sz w:val="28"/>
          <w:szCs w:val="28"/>
        </w:rPr>
        <w:t xml:space="preserve"> на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sz w:val="28"/>
          <w:szCs w:val="28"/>
        </w:rPr>
        <w:t xml:space="preserve">приобретение и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sz w:val="28"/>
          <w:szCs w:val="28"/>
        </w:rPr>
        <w:t xml:space="preserve">доставку продовольственных товаров и расширен</w:t>
      </w:r>
      <w:r>
        <w:rPr>
          <w:rFonts w:eastAsia="Calibri"/>
          <w:sz w:val="28"/>
          <w:szCs w:val="28"/>
        </w:rPr>
        <w:t xml:space="preserve">ием</w:t>
      </w:r>
      <w:r>
        <w:rPr>
          <w:rFonts w:eastAsia="Calibri"/>
          <w:sz w:val="28"/>
          <w:szCs w:val="28"/>
        </w:rPr>
        <w:t xml:space="preserve"> переч</w:t>
      </w:r>
      <w:r>
        <w:rPr>
          <w:rFonts w:eastAsia="Calibri"/>
          <w:sz w:val="28"/>
          <w:szCs w:val="28"/>
        </w:rPr>
        <w:t xml:space="preserve">ня </w:t>
      </w:r>
      <w:r>
        <w:rPr>
          <w:rFonts w:eastAsia="Calibri"/>
          <w:sz w:val="28"/>
          <w:szCs w:val="28"/>
        </w:rPr>
        <w:t xml:space="preserve">получателей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государственных гарантий Чукотского автономного округа</w:t>
      </w:r>
      <w:r>
        <w:rPr>
          <w:rFonts w:eastAsia="Calibri"/>
          <w:sz w:val="28"/>
          <w:szCs w:val="28"/>
        </w:rPr>
        <w:t xml:space="preserve">. У</w:t>
      </w:r>
      <w:r>
        <w:rPr>
          <w:rFonts w:eastAsia="Calibri"/>
          <w:sz w:val="28"/>
          <w:szCs w:val="28"/>
        </w:rPr>
        <w:t xml:space="preserve">станов</w:t>
      </w:r>
      <w:r>
        <w:rPr>
          <w:rFonts w:eastAsia="Calibri"/>
          <w:sz w:val="28"/>
          <w:szCs w:val="28"/>
        </w:rPr>
        <w:t xml:space="preserve">лен </w:t>
      </w:r>
      <w:r>
        <w:rPr>
          <w:rFonts w:eastAsia="Calibri"/>
          <w:sz w:val="28"/>
          <w:szCs w:val="28"/>
        </w:rPr>
        <w:t xml:space="preserve">норматив распределения доходов между окружным </w:t>
      </w:r>
      <w:r>
        <w:rPr>
          <w:rFonts w:eastAsia="Calibri"/>
          <w:sz w:val="28"/>
          <w:szCs w:val="28"/>
        </w:rPr>
        <w:t xml:space="preserve">и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sz w:val="28"/>
          <w:szCs w:val="28"/>
        </w:rPr>
        <w:t xml:space="preserve">местными бюджетами от применения автоматизированной упрощенной системы </w:t>
      </w:r>
      <w:r>
        <w:rPr>
          <w:rFonts w:eastAsia="Calibri"/>
          <w:sz w:val="28"/>
          <w:szCs w:val="28"/>
        </w:rPr>
        <w:t xml:space="preserve">налогообложения.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Руководствуясь статьей 217 Бюджетного </w:t>
      </w:r>
      <w:r>
        <w:rPr>
          <w:rFonts w:eastAsiaTheme="minorHAnsi"/>
          <w:bCs/>
          <w:sz w:val="28"/>
          <w:szCs w:val="28"/>
          <w:lang w:eastAsia="en-US"/>
        </w:rPr>
        <w:t xml:space="preserve">кодекса</w:t>
      </w:r>
      <w:r>
        <w:rPr>
          <w:rFonts w:eastAsiaTheme="minorHAnsi"/>
          <w:bCs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статьей 12 </w:t>
      </w:r>
      <w:r>
        <w:rPr>
          <w:rFonts w:eastAsiaTheme="minorHAnsi"/>
          <w:bCs/>
          <w:sz w:val="28"/>
          <w:szCs w:val="28"/>
          <w:lang w:eastAsia="en-US"/>
        </w:rPr>
        <w:t xml:space="preserve">Закона об окружном бюджете</w:t>
      </w:r>
      <w:r>
        <w:rPr>
          <w:rFonts w:eastAsiaTheme="minorHAnsi"/>
          <w:bCs/>
          <w:sz w:val="28"/>
          <w:szCs w:val="28"/>
          <w:lang w:eastAsia="en-US"/>
        </w:rPr>
        <w:t xml:space="preserve"> и</w:t>
      </w:r>
      <w:r>
        <w:rPr>
          <w:rFonts w:eastAsiaTheme="minorHAnsi"/>
          <w:bCs/>
          <w:sz w:val="28"/>
          <w:szCs w:val="28"/>
          <w:lang w:eastAsia="en-US"/>
        </w:rPr>
        <w:t xml:space="preserve"> статьей 28.2 Закона о бюджетном процессе</w:t>
      </w:r>
      <w:r>
        <w:rPr>
          <w:rFonts w:eastAsiaTheme="minorHAnsi"/>
          <w:bCs/>
          <w:sz w:val="28"/>
          <w:szCs w:val="28"/>
          <w:vertAlign w:val="superscript"/>
          <w:lang w:eastAsia="en-US"/>
        </w:rPr>
        <w:footnoteReference w:id="169"/>
      </w:r>
      <w:r>
        <w:rPr>
          <w:rFonts w:eastAsiaTheme="minorHAnsi"/>
          <w:sz w:val="28"/>
          <w:szCs w:val="28"/>
          <w:lang w:eastAsia="en-US"/>
        </w:rPr>
        <w:t xml:space="preserve">, Департаментом финансов, без внесения изменений в Закон об окружном бюджете, увеличен план по расходам до </w:t>
      </w:r>
      <w:r>
        <w:rPr>
          <w:rFonts w:eastAsiaTheme="minorHAnsi"/>
          <w:sz w:val="28"/>
          <w:szCs w:val="28"/>
          <w:lang w:eastAsia="en-US"/>
        </w:rPr>
        <w:t xml:space="preserve">68 429 374,5</w:t>
      </w:r>
      <w:r>
        <w:rPr>
          <w:rFonts w:eastAsiaTheme="minorHAnsi"/>
          <w:sz w:val="28"/>
          <w:szCs w:val="28"/>
          <w:lang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тыс</w:t>
      </w:r>
      <w:r>
        <w:rPr>
          <w:rFonts w:eastAsiaTheme="minorHAnsi"/>
          <w:sz w:val="28"/>
          <w:szCs w:val="28"/>
          <w:lang w:eastAsia="en-US"/>
        </w:rPr>
        <w:t xml:space="preserve">. рублей (на</w:t>
      </w:r>
      <w:r>
        <w:rPr>
          <w:rFonts w:eastAsiaTheme="minorHAnsi"/>
          <w:sz w:val="28"/>
          <w:szCs w:val="28"/>
          <w:lang w:eastAsia="en-US"/>
        </w:rPr>
        <w:t xml:space="preserve"> 4 341 640,2</w:t>
      </w:r>
      <w:r>
        <w:rPr>
          <w:rFonts w:eastAsiaTheme="minorHAnsi"/>
          <w:sz w:val="28"/>
          <w:szCs w:val="28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тыс. рублей или </w:t>
      </w:r>
      <w:r>
        <w:rPr>
          <w:rFonts w:eastAsiaTheme="minorHAnsi"/>
          <w:sz w:val="28"/>
          <w:szCs w:val="28"/>
          <w:lang w:eastAsia="en-US"/>
        </w:rPr>
        <w:t xml:space="preserve">6,8 </w:t>
      </w:r>
      <w:r>
        <w:rPr>
          <w:rFonts w:eastAsiaTheme="minorHAnsi"/>
          <w:sz w:val="28"/>
          <w:szCs w:val="28"/>
          <w:lang w:eastAsia="en-US"/>
        </w:rPr>
        <w:t xml:space="preserve">%)</w:t>
      </w:r>
      <w:r>
        <w:rPr>
          <w:rFonts w:eastAsiaTheme="minorHAnsi"/>
          <w:sz w:val="28"/>
          <w:szCs w:val="28"/>
          <w:lang w:eastAsia="en-US"/>
        </w:rPr>
        <w:t xml:space="preserve">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Изменения связаны с распределением безвозмездных поступлений в окружной бюджет, зарезервированных бюджетных ассигнований</w:t>
      </w:r>
      <w:r>
        <w:rPr>
          <w:rStyle w:val="4381"/>
          <w:rFonts w:eastAsia="Calibri"/>
          <w:bCs/>
          <w:color w:val="000000" w:themeColor="text1"/>
          <w:sz w:val="28"/>
          <w:szCs w:val="28"/>
          <w:lang w:eastAsia="en-US"/>
        </w:rPr>
        <w:footnoteReference w:id="170"/>
      </w: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средств резервного фонда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Правительства Чукотского автономного округа</w:t>
      </w:r>
      <w:r>
        <w:rPr>
          <w:rStyle w:val="4381"/>
          <w:rFonts w:eastAsia="Calibri"/>
          <w:color w:val="000000" w:themeColor="text1"/>
          <w:sz w:val="28"/>
          <w:szCs w:val="28"/>
          <w:lang w:eastAsia="en-US"/>
        </w:rPr>
        <w:footnoteReference w:id="171"/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и перераспределением между главными распорядителями бюджетных средств. </w:t>
      </w:r>
      <w:r>
        <w:rPr>
          <w:rFonts w:eastAsiaTheme="minorHAnsi"/>
          <w:sz w:val="28"/>
          <w:szCs w:val="28"/>
          <w:lang w:eastAsia="en-US"/>
        </w:rPr>
        <w:t xml:space="preserve">Указанный плановый показатель отражен </w:t>
      </w:r>
      <w:r>
        <w:rPr>
          <w:rFonts w:eastAsiaTheme="minorHAnsi"/>
          <w:sz w:val="28"/>
          <w:szCs w:val="28"/>
          <w:lang w:eastAsia="en-US"/>
        </w:rPr>
        <w:t xml:space="preserve">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сводной бюджетной росписи</w:t>
      </w:r>
      <w:r>
        <w:rPr>
          <w:rFonts w:eastAsiaTheme="minorHAnsi"/>
          <w:bCs/>
          <w:sz w:val="28"/>
          <w:szCs w:val="28"/>
          <w:vertAlign w:val="superscript"/>
          <w:lang w:eastAsia="en-US"/>
        </w:rPr>
        <w:footnoteReference w:id="172"/>
      </w:r>
      <w:r>
        <w:rPr>
          <w:rFonts w:eastAsiaTheme="minorHAnsi"/>
          <w:bCs/>
          <w:sz w:val="28"/>
          <w:szCs w:val="28"/>
          <w:lang w:eastAsia="en-US"/>
        </w:rPr>
        <w:t xml:space="preserve"> по</w:t>
      </w:r>
      <w:r>
        <w:rPr>
          <w:rFonts w:eastAsiaTheme="minorHAnsi"/>
          <w:bCs/>
          <w:sz w:val="28"/>
          <w:szCs w:val="28"/>
          <w:lang w:eastAsia="en-US"/>
        </w:rPr>
        <w:t xml:space="preserve"> </w:t>
      </w:r>
      <w:r>
        <w:rPr>
          <w:rFonts w:eastAsiaTheme="minorHAnsi"/>
          <w:bCs/>
          <w:sz w:val="28"/>
          <w:szCs w:val="28"/>
          <w:lang w:eastAsia="en-US"/>
        </w:rPr>
        <w:t xml:space="preserve">состоянию на 1 </w:t>
      </w:r>
      <w:r>
        <w:rPr>
          <w:rFonts w:eastAsiaTheme="minorHAnsi"/>
          <w:bCs/>
          <w:sz w:val="28"/>
          <w:szCs w:val="28"/>
          <w:lang w:eastAsia="en-US"/>
        </w:rPr>
        <w:t xml:space="preserve">апреля</w:t>
      </w:r>
      <w:r>
        <w:rPr>
          <w:rFonts w:eastAsiaTheme="minorHAnsi"/>
          <w:bCs/>
          <w:sz w:val="28"/>
          <w:szCs w:val="28"/>
          <w:lang w:eastAsia="en-US"/>
        </w:rPr>
        <w:t xml:space="preserve"> </w:t>
      </w:r>
      <w:r>
        <w:rPr>
          <w:rFonts w:eastAsiaTheme="minorHAnsi"/>
          <w:bCs/>
          <w:sz w:val="28"/>
          <w:szCs w:val="28"/>
          <w:lang w:eastAsia="en-US"/>
        </w:rPr>
        <w:t xml:space="preserve">202</w:t>
      </w:r>
      <w:r>
        <w:rPr>
          <w:rFonts w:eastAsiaTheme="minorHAnsi"/>
          <w:bCs/>
          <w:sz w:val="28"/>
          <w:szCs w:val="28"/>
          <w:lang w:eastAsia="en-US"/>
        </w:rPr>
        <w:t xml:space="preserve">6</w:t>
      </w:r>
      <w:r>
        <w:rPr>
          <w:rFonts w:eastAsiaTheme="minorHAnsi"/>
          <w:bCs/>
          <w:sz w:val="28"/>
          <w:szCs w:val="28"/>
          <w:lang w:eastAsia="en-US"/>
        </w:rPr>
        <w:t xml:space="preserve"> года и в</w:t>
      </w:r>
      <w:r>
        <w:rPr>
          <w:rFonts w:eastAsiaTheme="minorHAnsi"/>
          <w:bCs/>
          <w:sz w:val="28"/>
          <w:szCs w:val="28"/>
          <w:lang w:eastAsia="en-US"/>
        </w:rPr>
        <w:t xml:space="preserve"> </w:t>
      </w:r>
      <w:r>
        <w:rPr>
          <w:rFonts w:eastAsiaTheme="minorHAnsi"/>
          <w:bCs/>
          <w:sz w:val="28"/>
          <w:szCs w:val="28"/>
          <w:lang w:eastAsia="en-US"/>
        </w:rPr>
        <w:t xml:space="preserve">Отчете об исполнении окружного бюджета</w:t>
      </w:r>
      <w:r>
        <w:rPr>
          <w:rFonts w:eastAsiaTheme="minorHAnsi"/>
          <w:sz w:val="28"/>
          <w:szCs w:val="28"/>
          <w:vertAlign w:val="superscript"/>
          <w:lang w:eastAsia="en-US"/>
        </w:rPr>
        <w:footnoteReference w:id="173"/>
      </w:r>
      <w:r>
        <w:rPr>
          <w:rFonts w:eastAsiaTheme="minorHAnsi"/>
          <w:bCs/>
          <w:sz w:val="28"/>
          <w:szCs w:val="28"/>
          <w:lang w:eastAsia="en-US"/>
        </w:rPr>
        <w:t xml:space="preserve">.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284" w:leader="none"/>
        </w:tabs>
        <w:rPr>
          <w:sz w:val="28"/>
          <w:szCs w:val="28"/>
          <w:lang w:eastAsia="en-US"/>
        </w:rPr>
      </w:pPr>
      <w:r>
        <w:rPr>
          <w:sz w:val="28"/>
          <w:szCs w:val="20"/>
        </w:rPr>
        <w:t xml:space="preserve">Ведомственной структурой расходов окружного бюджета на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202</w:t>
      </w:r>
      <w:r>
        <w:rPr>
          <w:sz w:val="28"/>
          <w:szCs w:val="20"/>
        </w:rPr>
        <w:t xml:space="preserve">6</w:t>
      </w:r>
      <w:r>
        <w:rPr>
          <w:sz w:val="28"/>
          <w:szCs w:val="20"/>
        </w:rPr>
        <w:t xml:space="preserve"> год, бюджетные назначения предусмотрены 21 главному распорядителю средств окружного бюджета. </w:t>
      </w:r>
      <w:r>
        <w:rPr>
          <w:sz w:val="28"/>
          <w:szCs w:val="28"/>
        </w:rPr>
        <w:t xml:space="preserve">Плановый объем ассигнований увеличен </w:t>
      </w:r>
      <w:r>
        <w:rPr>
          <w:sz w:val="28"/>
          <w:szCs w:val="28"/>
        </w:rPr>
        <w:t xml:space="preserve">шести </w:t>
      </w:r>
      <w:r>
        <w:rPr>
          <w:sz w:val="28"/>
          <w:szCs w:val="28"/>
          <w:lang w:eastAsia="en-US"/>
        </w:rPr>
        <w:t xml:space="preserve">главным распорядителям </w:t>
      </w:r>
      <w:r>
        <w:rPr>
          <w:sz w:val="28"/>
          <w:szCs w:val="28"/>
        </w:rPr>
        <w:t xml:space="preserve">бюджетных средств на </w:t>
      </w:r>
      <w:r>
        <w:rPr>
          <w:sz w:val="28"/>
          <w:szCs w:val="28"/>
        </w:rPr>
        <w:t xml:space="preserve">5 358 007,3</w:t>
      </w:r>
      <w:r>
        <w:rPr>
          <w:sz w:val="28"/>
          <w:szCs w:val="28"/>
        </w:rPr>
        <w:t xml:space="preserve"> тыс. рублей, </w:t>
      </w:r>
      <w:r>
        <w:rPr>
          <w:sz w:val="28"/>
          <w:szCs w:val="28"/>
        </w:rPr>
        <w:t xml:space="preserve">пяти </w:t>
      </w:r>
      <w:r>
        <w:rPr>
          <w:sz w:val="28"/>
          <w:szCs w:val="28"/>
          <w:lang w:eastAsia="en-US"/>
        </w:rPr>
        <w:t xml:space="preserve">главным распорядителям </w:t>
      </w:r>
      <w:r>
        <w:rPr>
          <w:sz w:val="28"/>
          <w:szCs w:val="28"/>
        </w:rPr>
        <w:t xml:space="preserve">уменьшен на </w:t>
      </w:r>
      <w:r>
        <w:rPr>
          <w:sz w:val="28"/>
          <w:szCs w:val="28"/>
        </w:rPr>
        <w:t xml:space="preserve">1 016 367,1</w:t>
      </w:r>
      <w:r>
        <w:rPr>
          <w:sz w:val="28"/>
          <w:szCs w:val="28"/>
        </w:rPr>
        <w:t xml:space="preserve"> тыс. рублей.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Информация об </w:t>
      </w:r>
      <w:r>
        <w:rPr>
          <w:sz w:val="28"/>
          <w:szCs w:val="28"/>
        </w:rPr>
        <w:t xml:space="preserve">утвержденных </w:t>
      </w:r>
      <w:r>
        <w:rPr>
          <w:sz w:val="28"/>
          <w:szCs w:val="28"/>
        </w:rPr>
        <w:t xml:space="preserve">сводной бюджетной росписью </w:t>
      </w:r>
      <w:r>
        <w:rPr>
          <w:sz w:val="28"/>
          <w:szCs w:val="28"/>
        </w:rPr>
        <w:t xml:space="preserve">показателей</w:t>
      </w:r>
      <w:r>
        <w:rPr>
          <w:sz w:val="28"/>
          <w:szCs w:val="28"/>
        </w:rPr>
        <w:t xml:space="preserve"> без внесения изменений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Закон об окружном бюджете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представлена в разрезе главных распорядителей бюджетных средств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таблице №</w:t>
      </w:r>
      <w:r>
        <w:rPr>
          <w:bCs/>
          <w:sz w:val="28"/>
          <w:szCs w:val="28"/>
        </w:rPr>
        <w:t xml:space="preserve"> 1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bCs w:val="0"/>
          <w:sz w:val="28"/>
          <w:szCs w:val="28"/>
          <w:highlight w:val="none"/>
        </w:rPr>
        <w:outlineLvl w:val="0"/>
      </w:pPr>
      <w:r>
        <w:rPr>
          <w:b w:val="0"/>
          <w:bCs w:val="0"/>
          <w:sz w:val="28"/>
          <w:szCs w:val="28"/>
        </w:rPr>
        <w:t xml:space="preserve">Таблица №</w:t>
      </w:r>
      <w:r>
        <w:rPr>
          <w:b w:val="0"/>
          <w:bCs w:val="0"/>
          <w:sz w:val="28"/>
          <w:szCs w:val="28"/>
        </w:rPr>
        <w:t xml:space="preserve"> 1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sz w:val="28"/>
          <w:szCs w:val="28"/>
          <w:highlight w:val="yellow"/>
        </w:rPr>
      </w:pPr>
      <w:r>
        <w:rPr>
          <w:bCs/>
          <w:sz w:val="28"/>
          <w:szCs w:val="28"/>
        </w:rPr>
        <w:t xml:space="preserve">(тыс. рублей)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76"/>
        <w:gridCol w:w="1572"/>
        <w:gridCol w:w="1529"/>
        <w:gridCol w:w="1667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449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главного распорядителя бюджетных средств Чукотского автономного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Утверждено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9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Отклонение </w:t>
            </w:r>
            <w:r>
              <w:rPr>
                <w:sz w:val="20"/>
                <w:szCs w:val="20"/>
              </w:rPr>
              <w:br w:type="page" w:clear="all"/>
              <w:t xml:space="preserve">(гр.3-гр.2)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vAlign w:val="center"/>
            <w:vMerge w:val="continue"/>
            <w:textDirection w:val="lrTb"/>
            <w:noWrap w:val="false"/>
          </w:tcPr>
          <w:p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Законом об окружном бюджете</w:t>
            </w:r>
            <w:r>
              <w:rPr>
                <w:rStyle w:val="4381"/>
                <w:sz w:val="20"/>
                <w:szCs w:val="20"/>
              </w:rPr>
              <w:footnoteReference w:id="174"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Сводной бюджетной росписью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vMerge w:val="continue"/>
            <w:textDirection w:val="lrTb"/>
            <w:noWrap w:val="false"/>
          </w:tcPr>
          <w:p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</w:r>
            <w:bookmarkStart w:id="0" w:name="undefined"/>
            <w:r>
              <w:rPr>
                <w:b/>
                <w:bCs/>
                <w:sz w:val="20"/>
                <w:szCs w:val="20"/>
              </w:rPr>
              <w:t xml:space="preserve">Расходы бюджета - всего</w:t>
            </w:r>
            <w:bookmarkEnd w:id="0"/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64 087 734,3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68 429 374,5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4 341 640,2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901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строительства и жилищно-коммунального хозяйства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14 696 657,2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19 914 109,7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5 217 452,5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902 Департамент промышленной политики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8 159 433,8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7 503 833,8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-655 600,0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903 Департамент социальной политики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4 479 356,7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4 460 765,0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-18 591,7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904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экономики и инвестиций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1 180 597,2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1 061 097,2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-119 500,0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905 Департамент финансов и имущественных отношений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6 694 026,6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6 491 351,2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-202 675,4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906 Департамент сельского хозяйства и продовольствия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3 643 645,8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3 643 645,8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907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цифрового развития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915 638,6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915 638,6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909 Департамент здравоохранения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4 298 143,2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4 357 694,8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59 551,6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910 Аппарат Губернатора и Правительства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2 331 686,1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2 334 224,1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2 538,0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911 Счетная палата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153 841,7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153 841,7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912 Комитет государственного регулирования цен и тарифов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65 855,9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65 855,9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913 Избирательная комиссия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191 876,2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191 876,2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914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физической культуры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спорта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1 167 740,4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1 147 740,4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-20 000,0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915 Дума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296 798,2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298 346,2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1 548,0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916 Департамент природных ресурсов и экологии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1 817 758,6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1 817 758,6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917 Департамент культуры и туризма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1 297 064,1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1 297 064,1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918 Департамент образования и науки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11 114 249,9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11 159 527,1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45 277,2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919 Управление по обеспечению деятельности мировых судей и юридических консультаций, организации деятельности ЗАГС и архивов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224 543,7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224 543,7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920 Комитет по охране объектов культурного наследия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75 443,4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75 443,4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921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Управление молодежной политики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201 941,6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201 941,6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9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922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гражданской защиты и противопожарной службы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1 081 435,4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1 113 075,4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92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31 640,0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4515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исполнения окружного бюджета по итогам от</w:t>
      </w:r>
      <w:r>
        <w:rPr>
          <w:rFonts w:ascii="Times New Roman" w:hAnsi="Times New Roman" w:cs="Times New Roman"/>
          <w:sz w:val="28"/>
          <w:szCs w:val="28"/>
        </w:rPr>
        <w:t xml:space="preserve">чет</w:t>
      </w:r>
      <w:r>
        <w:rPr>
          <w:rFonts w:ascii="Times New Roman" w:hAnsi="Times New Roman" w:cs="Times New Roman"/>
          <w:sz w:val="28"/>
          <w:szCs w:val="28"/>
        </w:rPr>
        <w:t xml:space="preserve">ного периода представлена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таблице №</w:t>
      </w:r>
      <w:r>
        <w:rPr>
          <w:rFonts w:ascii="Times New Roman" w:hAnsi="Times New Roman"/>
          <w:sz w:val="28"/>
          <w:szCs w:val="28"/>
        </w:rPr>
        <w:t xml:space="preserve"> 2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Таблица №</w:t>
      </w:r>
      <w:r>
        <w:rPr>
          <w:b w:val="0"/>
          <w:sz w:val="28"/>
          <w:szCs w:val="28"/>
        </w:rPr>
        <w:t xml:space="preserve"> 2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(тыс. рублей)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01"/>
        <w:gridCol w:w="1815"/>
        <w:gridCol w:w="1815"/>
        <w:gridCol w:w="1813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показателя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Утверждено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Исполнено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Уровень исполнения,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8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1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1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4 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8" w:type="pct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Всего д</w:t>
            </w:r>
            <w:r>
              <w:rPr>
                <w:sz w:val="20"/>
                <w:szCs w:val="20"/>
              </w:rPr>
              <w:t xml:space="preserve">оход</w:t>
            </w:r>
            <w:r>
              <w:rPr>
                <w:sz w:val="20"/>
                <w:szCs w:val="20"/>
              </w:rPr>
              <w:t xml:space="preserve">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60 869 037,2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19 112 476,3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31,4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8" w:type="pct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Всего р</w:t>
            </w:r>
            <w:r>
              <w:rPr>
                <w:sz w:val="20"/>
                <w:szCs w:val="20"/>
              </w:rPr>
              <w:t xml:space="preserve">асход</w:t>
            </w:r>
            <w:r>
              <w:rPr>
                <w:sz w:val="20"/>
                <w:szCs w:val="20"/>
              </w:rPr>
              <w:t xml:space="preserve">ов*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68 429 374,5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</w:r>
            <w:bookmarkStart w:id="0" w:name="undefined"/>
            <w:r>
              <w:rPr>
                <w:color w:val="000000"/>
                <w:sz w:val="20"/>
                <w:szCs w:val="20"/>
              </w:rPr>
              <w:t xml:space="preserve">17 146 079,7</w:t>
            </w:r>
            <w:bookmarkEnd w:id="0"/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25,1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8" w:type="pc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Дефицит (-), профицит (+)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  <w:t xml:space="preserve">3 218 697,1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1 966 396,6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4515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</w:rPr>
        <w:t xml:space="preserve">*С учетом изменений, вносимых сводной бюджетной росписью</w:t>
      </w:r>
      <w:r>
        <w:rPr>
          <w:rFonts w:ascii="Times New Roman" w:hAnsi="Times New Roman"/>
          <w:sz w:val="20"/>
          <w:szCs w:val="20"/>
          <w:highlight w:val="yellow"/>
        </w:rPr>
      </w:r>
      <w:r>
        <w:rPr>
          <w:rFonts w:ascii="Times New Roman" w:hAnsi="Times New Roman"/>
          <w:sz w:val="20"/>
          <w:szCs w:val="20"/>
          <w:highlight w:val="yellow"/>
        </w:rPr>
      </w:r>
    </w:p>
    <w:p>
      <w:pPr>
        <w:pStyle w:val="4515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данным </w:t>
      </w:r>
      <w:r>
        <w:rPr>
          <w:rFonts w:ascii="Times New Roman" w:hAnsi="Times New Roman"/>
          <w:sz w:val="28"/>
          <w:szCs w:val="28"/>
        </w:rPr>
        <w:t xml:space="preserve">Отчета об исполнении бюджета</w:t>
      </w:r>
      <w:r>
        <w:rPr>
          <w:rFonts w:ascii="Times New Roman" w:hAnsi="Times New Roman"/>
          <w:sz w:val="28"/>
          <w:szCs w:val="28"/>
        </w:rPr>
        <w:t xml:space="preserve"> за 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 месяц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 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515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доходы поступили в сумме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19 112 476,3</w:t>
      </w:r>
      <w:r>
        <w:rPr>
          <w:rFonts w:ascii="Times New Roman" w:hAnsi="Times New Roman"/>
          <w:sz w:val="28"/>
          <w:szCs w:val="28"/>
        </w:rPr>
        <w:t xml:space="preserve"> т</w:t>
      </w:r>
      <w:r>
        <w:rPr>
          <w:rFonts w:ascii="Times New Roman" w:hAnsi="Times New Roman"/>
          <w:sz w:val="28"/>
          <w:szCs w:val="28"/>
        </w:rPr>
        <w:t xml:space="preserve">ыс. рублей или </w:t>
      </w:r>
      <w:r>
        <w:rPr>
          <w:rFonts w:ascii="Times New Roman" w:hAnsi="Times New Roman"/>
          <w:sz w:val="28"/>
          <w:szCs w:val="28"/>
        </w:rPr>
        <w:t xml:space="preserve">31,4 </w:t>
      </w:r>
      <w:r>
        <w:rPr>
          <w:rFonts w:ascii="Times New Roman" w:hAnsi="Times New Roman"/>
          <w:sz w:val="28"/>
          <w:szCs w:val="28"/>
        </w:rPr>
        <w:t xml:space="preserve">% утвержденных плановых показателей;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515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расходы составили </w:t>
      </w:r>
      <w:r>
        <w:rPr>
          <w:rFonts w:ascii="Times New Roman" w:hAnsi="Times New Roman"/>
          <w:sz w:val="28"/>
          <w:szCs w:val="28"/>
        </w:rPr>
        <w:t xml:space="preserve">17 146 079,7 </w:t>
      </w:r>
      <w:r>
        <w:rPr>
          <w:rFonts w:ascii="Times New Roman" w:hAnsi="Times New Roman"/>
          <w:sz w:val="28"/>
          <w:szCs w:val="28"/>
        </w:rPr>
        <w:t xml:space="preserve">тыс. рублей или </w:t>
      </w:r>
      <w:r>
        <w:rPr>
          <w:rFonts w:ascii="Times New Roman" w:hAnsi="Times New Roman"/>
          <w:sz w:val="28"/>
          <w:szCs w:val="28"/>
        </w:rPr>
        <w:t xml:space="preserve">25,1 </w:t>
      </w:r>
      <w:r>
        <w:rPr>
          <w:rFonts w:ascii="Times New Roman" w:hAnsi="Times New Roman"/>
          <w:sz w:val="28"/>
          <w:szCs w:val="28"/>
        </w:rPr>
        <w:t xml:space="preserve">% утвержденных назначений;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4515"/>
        <w:ind w:firstLine="709"/>
        <w:jc w:val="both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окружной бюджет исполнен 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профицитом </w:t>
      </w:r>
      <w:r>
        <w:rPr>
          <w:rFonts w:ascii="Times New Roman" w:hAnsi="Times New Roman"/>
          <w:sz w:val="28"/>
          <w:szCs w:val="28"/>
        </w:rPr>
        <w:t xml:space="preserve">в размере </w:t>
      </w:r>
      <w:r>
        <w:rPr>
          <w:rFonts w:ascii="Times New Roman" w:hAnsi="Times New Roman"/>
          <w:sz w:val="28"/>
          <w:szCs w:val="28"/>
        </w:rPr>
        <w:t xml:space="preserve">1 966 396,6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тыс.</w:t>
      </w:r>
      <w:r>
        <w:rPr>
          <w:rFonts w:ascii="Times New Roman" w:hAnsi="Times New Roman"/>
          <w:sz w:val="28"/>
          <w:szCs w:val="28"/>
        </w:rPr>
        <w:t xml:space="preserve">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Доходы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окружного бюджета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доход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окружного бюджета составил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19 112 476,3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рублей или </w:t>
      </w:r>
      <w:r>
        <w:rPr>
          <w:sz w:val="28"/>
          <w:szCs w:val="28"/>
        </w:rPr>
        <w:t xml:space="preserve">31,4 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прогнозируемого объема доходов, утвержденного Законом об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окружном бюджете.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bCs/>
          <w:sz w:val="28"/>
          <w:szCs w:val="28"/>
        </w:rPr>
        <w:t xml:space="preserve">Исполнение доходов окружного бюджета</w:t>
      </w:r>
      <w:r>
        <w:rPr>
          <w:sz w:val="28"/>
          <w:szCs w:val="28"/>
        </w:rPr>
        <w:t xml:space="preserve"> за отчетный период характеризуется данными, приведенными в </w:t>
      </w:r>
      <w:r>
        <w:rPr>
          <w:rFonts w:eastAsia="DejaVu Sans" w:cs="font184"/>
          <w:sz w:val="28"/>
          <w:szCs w:val="28"/>
          <w:lang w:eastAsia="ar-SA"/>
        </w:rPr>
        <w:t xml:space="preserve">таблице №</w:t>
      </w:r>
      <w:r>
        <w:rPr>
          <w:rFonts w:eastAsia="DejaVu Sans" w:cs="font184"/>
          <w:sz w:val="28"/>
          <w:szCs w:val="28"/>
          <w:lang w:eastAsia="ar-SA"/>
        </w:rPr>
        <w:t xml:space="preserve"> 3</w:t>
      </w:r>
      <w:r>
        <w:rPr>
          <w:rFonts w:eastAsia="DejaVu Sans" w:cs="font184"/>
          <w:sz w:val="28"/>
          <w:szCs w:val="28"/>
          <w:lang w:eastAsia="ar-SA"/>
        </w:rPr>
        <w:t xml:space="preserve">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bCs w:val="0"/>
          <w:iCs/>
          <w:sz w:val="28"/>
          <w:szCs w:val="28"/>
        </w:rPr>
        <w:outlineLvl w:val="0"/>
      </w:pPr>
      <w:r>
        <w:rPr>
          <w:b w:val="0"/>
          <w:bCs w:val="0"/>
          <w:iCs/>
          <w:sz w:val="28"/>
          <w:szCs w:val="28"/>
        </w:rPr>
        <w:t xml:space="preserve">Таблица №</w:t>
      </w:r>
      <w:r>
        <w:rPr>
          <w:b w:val="0"/>
          <w:bCs w:val="0"/>
          <w:iCs/>
          <w:sz w:val="28"/>
          <w:szCs w:val="28"/>
        </w:rPr>
        <w:t xml:space="preserve"> 3</w:t>
      </w:r>
      <w:r>
        <w:rPr>
          <w:b w:val="0"/>
          <w:bCs w:val="0"/>
          <w:iCs/>
          <w:sz w:val="28"/>
          <w:szCs w:val="28"/>
        </w:rPr>
      </w:r>
      <w:r>
        <w:rPr>
          <w:b w:val="0"/>
          <w:bCs w:val="0"/>
          <w:iCs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tabs>
          <w:tab w:val="left" w:pos="426" w:leader="none"/>
          <w:tab w:val="left" w:pos="709" w:leader="none"/>
        </w:tabs>
        <w:rPr>
          <w:b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 xml:space="preserve">(тыс. рублей)</w:t>
      </w:r>
      <w:r>
        <w:rPr>
          <w:bCs/>
          <w:sz w:val="28"/>
          <w:szCs w:val="28"/>
          <w:highlight w:val="yellow"/>
        </w:rPr>
      </w:r>
      <w:r>
        <w:rPr>
          <w:bCs/>
          <w:sz w:val="28"/>
          <w:szCs w:val="28"/>
          <w:highlight w:val="yellow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708"/>
        <w:gridCol w:w="1374"/>
        <w:gridCol w:w="1375"/>
        <w:gridCol w:w="1650"/>
        <w:gridCol w:w="1237"/>
      </w:tblGrid>
      <w:tr>
        <w:tblPrEx/>
        <w:trPr>
          <w:trHeight w:val="603"/>
          <w:tblHeader/>
        </w:trPr>
        <w:tc>
          <w:tcPr>
            <w:shd w:val="clear" w:color="ffffff" w:fill="ffffff"/>
            <w:tcW w:w="198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br/>
              <w:t xml:space="preserve">показателя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Утверждено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3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Исполнено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88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Уровень исполнения,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66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Удельный вес,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W w:w="198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3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88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66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1984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Доходы бюджета - всего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60 869 037,2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19 112 476,3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31,4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х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1984" w:type="pct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Налоговые и неналоговые доходы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36 851 255,4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12 186 284,7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33,1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63,8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1984" w:type="pct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Налоговые доходы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35 559 419,9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11 990 373,6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33,7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62,7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1984" w:type="pct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Неналоговые доходы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1 291 835,5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195 911,1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15,2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1,1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W w:w="1984" w:type="pct"/>
            <w:vAlign w:val="center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Безвозмездные поступления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24 017 781,8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6 926 191,6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28,8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36,2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  <w:tab w:val="left" w:pos="851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Объем </w:t>
      </w:r>
      <w:r>
        <w:rPr>
          <w:bCs/>
          <w:sz w:val="28"/>
          <w:szCs w:val="28"/>
        </w:rPr>
        <w:t xml:space="preserve">налоговых и неналоговых </w:t>
      </w:r>
      <w:r>
        <w:rPr>
          <w:bCs/>
          <w:sz w:val="28"/>
          <w:szCs w:val="28"/>
        </w:rPr>
        <w:t xml:space="preserve">поступлений составил </w:t>
      </w:r>
      <w:r>
        <w:rPr>
          <w:bCs/>
          <w:sz w:val="28"/>
          <w:szCs w:val="28"/>
        </w:rPr>
        <w:t xml:space="preserve">12 186 284,7</w:t>
      </w:r>
      <w:r>
        <w:rPr>
          <w:bCs/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тыс. рублей или </w:t>
      </w:r>
      <w:r>
        <w:rPr>
          <w:bCs/>
          <w:sz w:val="28"/>
          <w:szCs w:val="28"/>
        </w:rPr>
        <w:t xml:space="preserve">33,1 </w:t>
      </w:r>
      <w:r>
        <w:rPr>
          <w:bCs/>
          <w:sz w:val="28"/>
          <w:szCs w:val="28"/>
        </w:rPr>
        <w:t xml:space="preserve">% утвержденных назначений, безвозмездных поступлений – </w:t>
      </w:r>
      <w:r>
        <w:rPr>
          <w:bCs/>
          <w:sz w:val="28"/>
          <w:szCs w:val="28"/>
        </w:rPr>
        <w:t xml:space="preserve">6 926 191,6</w:t>
      </w:r>
      <w:r>
        <w:rPr>
          <w:bCs/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тыс. рублей или </w:t>
      </w:r>
      <w:r>
        <w:rPr>
          <w:bCs/>
          <w:sz w:val="28"/>
          <w:szCs w:val="28"/>
        </w:rPr>
        <w:t xml:space="preserve">28,8 </w:t>
      </w:r>
      <w:r>
        <w:rPr>
          <w:bCs/>
          <w:sz w:val="28"/>
          <w:szCs w:val="28"/>
        </w:rPr>
        <w:t xml:space="preserve">%.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Налоговые доходы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В</w:t>
      </w:r>
      <w:r>
        <w:rPr>
          <w:sz w:val="28"/>
          <w:szCs w:val="28"/>
        </w:rPr>
        <w:t xml:space="preserve"> отчетном периоде </w:t>
      </w:r>
      <w:r>
        <w:rPr>
          <w:sz w:val="28"/>
          <w:szCs w:val="28"/>
        </w:rPr>
        <w:t xml:space="preserve">исполнение по налоговым доходам </w:t>
      </w:r>
      <w:r>
        <w:rPr>
          <w:sz w:val="28"/>
          <w:szCs w:val="28"/>
        </w:rPr>
        <w:t xml:space="preserve">окружно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бюджет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составил</w:t>
      </w:r>
      <w:r>
        <w:rPr>
          <w:sz w:val="28"/>
          <w:szCs w:val="28"/>
        </w:rPr>
        <w:t xml:space="preserve">о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11 990 373,6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тыс. рублей или </w:t>
      </w:r>
      <w:r>
        <w:rPr>
          <w:rFonts w:eastAsia="DejaVu Sans" w:cs="font184"/>
          <w:sz w:val="28"/>
          <w:szCs w:val="28"/>
          <w:lang w:eastAsia="ar-SA"/>
        </w:rPr>
        <w:t xml:space="preserve">33,</w:t>
      </w:r>
      <w:r>
        <w:rPr>
          <w:rFonts w:eastAsia="DejaVu Sans" w:cs="font184"/>
          <w:sz w:val="28"/>
          <w:szCs w:val="28"/>
          <w:lang w:eastAsia="ar-SA"/>
        </w:rPr>
        <w:t xml:space="preserve">7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% утвержденных годовых показателей. 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В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структуре полученных доходов окружного бюджета доля налоговых поступлений составляет </w:t>
      </w:r>
      <w:r>
        <w:rPr>
          <w:rFonts w:eastAsia="DejaVu Sans" w:cs="font184"/>
          <w:sz w:val="28"/>
          <w:szCs w:val="28"/>
          <w:lang w:eastAsia="ar-SA"/>
        </w:rPr>
        <w:t xml:space="preserve">62,7 </w:t>
      </w:r>
      <w:r>
        <w:rPr>
          <w:rFonts w:eastAsia="DejaVu Sans" w:cs="font184"/>
          <w:sz w:val="28"/>
          <w:szCs w:val="28"/>
          <w:lang w:eastAsia="ar-SA"/>
        </w:rPr>
        <w:t xml:space="preserve">%.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Информация об объемах поступлений налоговых доходов представлена в таблице №</w:t>
      </w:r>
      <w:r>
        <w:rPr>
          <w:rFonts w:eastAsia="DejaVu Sans" w:cs="font184"/>
          <w:sz w:val="28"/>
          <w:szCs w:val="28"/>
          <w:lang w:eastAsia="ar-SA"/>
        </w:rPr>
        <w:t xml:space="preserve"> 4</w:t>
      </w:r>
      <w:r>
        <w:rPr>
          <w:rFonts w:eastAsia="DejaVu Sans" w:cs="font184"/>
          <w:sz w:val="28"/>
          <w:szCs w:val="28"/>
          <w:lang w:eastAsia="ar-SA"/>
        </w:rPr>
        <w:t xml:space="preserve">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bCs w:val="0"/>
          <w:iCs/>
          <w:sz w:val="28"/>
          <w:szCs w:val="28"/>
        </w:rPr>
        <w:outlineLvl w:val="0"/>
      </w:pPr>
      <w:r>
        <w:rPr>
          <w:b w:val="0"/>
          <w:bCs w:val="0"/>
          <w:iCs/>
          <w:sz w:val="28"/>
          <w:szCs w:val="28"/>
        </w:rPr>
        <w:t xml:space="preserve">Таблица №</w:t>
      </w:r>
      <w:r>
        <w:rPr>
          <w:b w:val="0"/>
          <w:bCs w:val="0"/>
          <w:iCs/>
          <w:sz w:val="28"/>
          <w:szCs w:val="28"/>
        </w:rPr>
        <w:t xml:space="preserve"> 4</w:t>
      </w:r>
      <w:r>
        <w:rPr>
          <w:b w:val="0"/>
          <w:bCs w:val="0"/>
          <w:iCs/>
          <w:sz w:val="28"/>
          <w:szCs w:val="28"/>
        </w:rPr>
      </w:r>
      <w:r>
        <w:rPr>
          <w:b w:val="0"/>
          <w:bCs w:val="0"/>
          <w:iCs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tabs>
          <w:tab w:val="left" w:pos="426" w:leader="none"/>
          <w:tab w:val="left" w:pos="709" w:leader="none"/>
        </w:tabs>
        <w:rPr>
          <w:rFonts w:eastAsia="DejaVu Sans" w:cs="font184"/>
          <w:sz w:val="28"/>
          <w:szCs w:val="28"/>
          <w:highlight w:val="yellow"/>
          <w:lang w:eastAsia="ar-SA"/>
        </w:rPr>
      </w:pPr>
      <w:r>
        <w:rPr>
          <w:bCs/>
          <w:iCs/>
          <w:sz w:val="28"/>
          <w:szCs w:val="28"/>
        </w:rPr>
        <w:t xml:space="preserve">(тыс. рублей)</w:t>
      </w:r>
      <w:bookmarkStart w:id="0" w:name="undefined"/>
      <w:r>
        <w:rPr>
          <w:rFonts w:eastAsia="DejaVu Sans" w:cs="font184"/>
          <w:sz w:val="28"/>
          <w:szCs w:val="28"/>
          <w:highlight w:val="yellow"/>
          <w:lang w:eastAsia="ar-SA"/>
        </w:rPr>
      </w:r>
      <w:r>
        <w:rPr>
          <w:rFonts w:eastAsia="DejaVu Sans" w:cs="font184"/>
          <w:sz w:val="28"/>
          <w:szCs w:val="28"/>
          <w:highlight w:val="yellow"/>
          <w:lang w:eastAsia="ar-SA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08"/>
        <w:gridCol w:w="1375"/>
        <w:gridCol w:w="1374"/>
        <w:gridCol w:w="1650"/>
        <w:gridCol w:w="1237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br/>
              <w:t xml:space="preserve">показателя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Утверждено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Исполнено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Уровень исполнения,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Удельный вес,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Налоговые доходы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35 559 419,9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11 990 373,6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33,7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62,7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101 Налог на прибыль организаций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12 449 679,0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4 819 024,7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38,7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101 Налог на доходы физических лиц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9 162 034,9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2 302 504,9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25,1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103 Налоги на товары (работы, услуги), реализуемые на территории Российской Федерации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1 306 236,8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285 750,8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105 Налоги на совокупный доход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11 226,0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5 285,9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47,1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менее 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106 Налоги на имущество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1 804 881,0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547 318,2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107 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латежи за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пользование природными ресурсами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10 796 774,8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4 026 143,1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37,3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33,6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108 Государственная пошлина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28 573,4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4 346,0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менее 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109 Задолженность и перерасчеты по отмененным налогам</w:t>
            </w:r>
            <w:r>
              <w:rPr>
                <w:sz w:val="20"/>
                <w:szCs w:val="20"/>
              </w:rPr>
              <w:t xml:space="preserve"> и</w:t>
            </w:r>
            <w:r>
              <w:rPr>
                <w:sz w:val="20"/>
                <w:szCs w:val="20"/>
              </w:rPr>
              <w:t xml:space="preserve"> сборам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bookmarkEnd w:id="0"/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Основную долю в структуре налоговых доходов составляют налоги на прибыль организаций и на доходы физических лиц – 59,4 %, налоги, сборы и регулярные платежи за пользование природными ресурсами – 33,6 %, налоги на имущество – 4,6 %.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Неналоговые доходы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Неналоговые доходы в отчетном периоде поступили в сумме </w:t>
      </w:r>
      <w:r>
        <w:rPr>
          <w:rFonts w:eastAsia="DejaVu Sans" w:cs="font184"/>
          <w:sz w:val="28"/>
          <w:szCs w:val="28"/>
          <w:lang w:eastAsia="ar-SA"/>
        </w:rPr>
        <w:t xml:space="preserve">195 911,1 </w:t>
      </w:r>
      <w:r>
        <w:rPr>
          <w:rFonts w:eastAsia="DejaVu Sans" w:cs="font184"/>
          <w:sz w:val="28"/>
          <w:szCs w:val="28"/>
          <w:lang w:eastAsia="ar-SA"/>
        </w:rPr>
        <w:t xml:space="preserve">тыс.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рублей или </w:t>
      </w:r>
      <w:r>
        <w:rPr>
          <w:rFonts w:eastAsia="DejaVu Sans" w:cs="font184"/>
          <w:sz w:val="28"/>
          <w:szCs w:val="28"/>
          <w:lang w:eastAsia="ar-SA"/>
        </w:rPr>
        <w:t xml:space="preserve">15,2 </w:t>
      </w:r>
      <w:r>
        <w:rPr>
          <w:rFonts w:eastAsia="DejaVu Sans" w:cs="font184"/>
          <w:sz w:val="28"/>
          <w:szCs w:val="28"/>
          <w:lang w:eastAsia="ar-SA"/>
        </w:rPr>
        <w:t xml:space="preserve">% утвержденных показателей. 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 структуре доходов окружного бюджета доля неналоговых доходов составляет </w:t>
      </w:r>
      <w:r>
        <w:rPr>
          <w:sz w:val="28"/>
          <w:szCs w:val="28"/>
        </w:rPr>
        <w:t xml:space="preserve">1,</w:t>
      </w:r>
      <w:r>
        <w:rPr>
          <w:sz w:val="28"/>
          <w:szCs w:val="28"/>
        </w:rPr>
        <w:t xml:space="preserve">1 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Информация об объемах поступлений неналоговых доходов в отчетном периоде представлена в таблице №</w:t>
      </w:r>
      <w:r>
        <w:rPr>
          <w:rFonts w:eastAsia="DejaVu Sans" w:cs="font184"/>
          <w:sz w:val="28"/>
          <w:szCs w:val="28"/>
          <w:lang w:eastAsia="ar-SA"/>
        </w:rPr>
        <w:t xml:space="preserve"> 5</w:t>
      </w:r>
      <w:r>
        <w:rPr>
          <w:rFonts w:eastAsia="DejaVu Sans" w:cs="font184"/>
          <w:sz w:val="28"/>
          <w:szCs w:val="28"/>
          <w:lang w:eastAsia="ar-SA"/>
        </w:rPr>
        <w:t xml:space="preserve">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bCs w:val="0"/>
          <w:iCs/>
          <w:sz w:val="28"/>
          <w:szCs w:val="28"/>
        </w:rPr>
        <w:outlineLvl w:val="0"/>
      </w:pPr>
      <w:r>
        <w:rPr>
          <w:b w:val="0"/>
          <w:bCs w:val="0"/>
          <w:iCs/>
          <w:sz w:val="28"/>
          <w:szCs w:val="28"/>
        </w:rPr>
        <w:t xml:space="preserve">Таблица №</w:t>
      </w:r>
      <w:r>
        <w:rPr>
          <w:b w:val="0"/>
          <w:bCs w:val="0"/>
          <w:iCs/>
          <w:sz w:val="28"/>
          <w:szCs w:val="28"/>
        </w:rPr>
        <w:t xml:space="preserve"> 5</w:t>
      </w:r>
      <w:r>
        <w:rPr>
          <w:b w:val="0"/>
          <w:bCs w:val="0"/>
          <w:iCs/>
          <w:sz w:val="28"/>
          <w:szCs w:val="28"/>
        </w:rPr>
      </w:r>
      <w:r>
        <w:rPr>
          <w:b w:val="0"/>
          <w:bCs w:val="0"/>
          <w:iCs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tabs>
          <w:tab w:val="left" w:pos="426" w:leader="none"/>
          <w:tab w:val="left" w:pos="709" w:leader="none"/>
        </w:tabs>
        <w:rPr>
          <w:rFonts w:eastAsia="DejaVu Sans"/>
          <w:sz w:val="28"/>
          <w:szCs w:val="28"/>
          <w:lang w:eastAsia="ar-SA"/>
        </w:rPr>
      </w:pPr>
      <w:r>
        <w:rPr>
          <w:bCs/>
          <w:iCs/>
          <w:sz w:val="28"/>
          <w:szCs w:val="28"/>
        </w:rPr>
        <w:t xml:space="preserve">(тыс. рублей)</w:t>
      </w:r>
      <w:r>
        <w:rPr>
          <w:rFonts w:eastAsia="DejaVu Sans"/>
          <w:sz w:val="28"/>
          <w:szCs w:val="28"/>
          <w:lang w:eastAsia="ar-SA"/>
        </w:rPr>
      </w:r>
      <w:r>
        <w:rPr>
          <w:rFonts w:eastAsia="DejaVu Sans"/>
          <w:sz w:val="28"/>
          <w:szCs w:val="28"/>
          <w:lang w:eastAsia="ar-SA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35"/>
        <w:gridCol w:w="1276"/>
        <w:gridCol w:w="1417"/>
        <w:gridCol w:w="1559"/>
        <w:gridCol w:w="1134"/>
      </w:tblGrid>
      <w:tr>
        <w:tblPrEx/>
        <w:trPr>
          <w:trHeight w:val="338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br/>
              <w:t xml:space="preserve">показателя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Утверждено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Исполнено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Уровень исполнения,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Удельный вес,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Неналоговые доходы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1 291 835,5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</w:r>
            <w:bookmarkStart w:id="0" w:name="undefined"/>
            <w:r>
              <w:rPr>
                <w:b/>
                <w:bCs/>
                <w:sz w:val="20"/>
                <w:szCs w:val="20"/>
              </w:rPr>
              <w:t xml:space="preserve">195 911,1</w:t>
            </w:r>
            <w:bookmarkEnd w:id="0"/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15,2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1,1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111 Доходы от использования </w:t>
            </w:r>
            <w:r>
              <w:rPr>
                <w:sz w:val="20"/>
                <w:szCs w:val="20"/>
              </w:rPr>
              <w:t xml:space="preserve">государственного </w:t>
            </w:r>
            <w:r>
              <w:rPr>
                <w:sz w:val="20"/>
                <w:szCs w:val="20"/>
              </w:rPr>
              <w:t xml:space="preserve">имущества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1 124 304,1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130 645,5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66,7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112 Платежи при пользовании природными ресурсами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57 250,9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32 568,7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56,9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16,6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113 Доходы от оказания платных услуг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компенсации затрат государства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12 801,3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10 480,8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81,9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116 Штрафы, возмещение ущерба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97 479,2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22 229,4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22,8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117 Прочие неналоговые доходы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-13,3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менее 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Доходы от операций по управлению остатками средств на едином казначейском счете, зачисляемые в бюджеты субъектов Российской Федерации</w:t>
      </w:r>
      <w:r>
        <w:rPr>
          <w:sz w:val="28"/>
          <w:szCs w:val="28"/>
        </w:rPr>
        <w:t xml:space="preserve"> в отчетном периоде поступили в сумме </w:t>
      </w:r>
      <w:r>
        <w:rPr>
          <w:sz w:val="28"/>
          <w:szCs w:val="28"/>
        </w:rPr>
        <w:t xml:space="preserve">126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563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 тыс. рублей.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Безвозмездные поступления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426" w:leader="none"/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Объем безвозмездных поступлений в отчетном периоде составил </w:t>
      </w:r>
      <w:r>
        <w:rPr>
          <w:sz w:val="28"/>
          <w:szCs w:val="28"/>
        </w:rPr>
        <w:t xml:space="preserve">6 926 191,6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 или </w:t>
      </w:r>
      <w:r>
        <w:rPr>
          <w:sz w:val="28"/>
          <w:szCs w:val="28"/>
        </w:rPr>
        <w:t xml:space="preserve">28,8 </w:t>
      </w:r>
      <w:r>
        <w:rPr>
          <w:sz w:val="28"/>
          <w:szCs w:val="28"/>
        </w:rPr>
        <w:t xml:space="preserve">% годовых бюджетных назначений.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426" w:leader="none"/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структуре доходов окружного бюджета доля безвозмездных поступлений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анализируемом</w:t>
      </w:r>
      <w:r>
        <w:rPr>
          <w:sz w:val="28"/>
          <w:szCs w:val="28"/>
        </w:rPr>
        <w:t xml:space="preserve"> периоде </w:t>
      </w:r>
      <w:r>
        <w:rPr>
          <w:sz w:val="28"/>
          <w:szCs w:val="28"/>
        </w:rPr>
        <w:t xml:space="preserve">сложилась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уровне </w:t>
      </w:r>
      <w:r>
        <w:rPr>
          <w:sz w:val="28"/>
          <w:szCs w:val="28"/>
        </w:rPr>
        <w:t xml:space="preserve">36,2 </w:t>
      </w:r>
      <w:r>
        <w:rPr>
          <w:sz w:val="28"/>
          <w:szCs w:val="28"/>
        </w:rPr>
        <w:t xml:space="preserve">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Информация об объемах безвозмездных поступлений в отчетном периоде представлена в таблице №</w:t>
      </w:r>
      <w:r>
        <w:rPr>
          <w:rFonts w:eastAsia="DejaVu Sans" w:cs="font184"/>
          <w:sz w:val="28"/>
          <w:szCs w:val="28"/>
          <w:lang w:eastAsia="ar-SA"/>
        </w:rPr>
        <w:t xml:space="preserve"> 6</w:t>
      </w:r>
      <w:r>
        <w:rPr>
          <w:rFonts w:eastAsia="DejaVu Sans" w:cs="font184"/>
          <w:sz w:val="28"/>
          <w:szCs w:val="28"/>
          <w:lang w:eastAsia="ar-SA"/>
        </w:rPr>
        <w:t xml:space="preserve">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Таблица №</w:t>
      </w:r>
      <w:r>
        <w:rPr>
          <w:b w:val="0"/>
          <w:sz w:val="28"/>
          <w:szCs w:val="28"/>
        </w:rPr>
        <w:t xml:space="preserve"> 6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right="46"/>
        <w:jc w:val="right"/>
        <w:spacing w:before="0" w:beforeAutospacing="0" w:after="0" w:afterAutospacing="0" w:line="240" w:lineRule="auto"/>
        <w:rPr>
          <w:rFonts w:eastAsia="DejaVu Sans" w:cs="font184"/>
          <w:sz w:val="28"/>
          <w:szCs w:val="28"/>
          <w:lang w:eastAsia="ar-SA"/>
        </w:rPr>
      </w:pPr>
      <w:r>
        <w:rPr>
          <w:sz w:val="28"/>
          <w:szCs w:val="28"/>
        </w:rPr>
        <w:t xml:space="preserve">(тыс. рублей)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94"/>
        <w:gridCol w:w="1417"/>
        <w:gridCol w:w="1276"/>
        <w:gridCol w:w="1529"/>
        <w:gridCol w:w="1306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br/>
              <w:t xml:space="preserve">показателя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Утверждено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Исполнено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Уровень исполнения,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Удельный вес,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0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bottom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Безвозмездные поступления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24 017 781,8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6 926 191,6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28,8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36,2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202 Дотации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16 135 944,9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5 121 741,8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31,7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73,9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202 Субсидии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6 595 981,4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651 421,1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202 Субвенции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576 431,9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64 808,1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202 Иные межбюджетные трансферты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278 447,2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64 792,3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23,3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203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Безвозмездные поступления от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государственных организаций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39 177,6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204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Безвозмездные поступления от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негосударственных организаций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150 976,4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-464,1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менее 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207 Прочие безвозмездные поступления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757 709,8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218 Доходы бюджетов бюджетной системы Российской Федерации от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возврата остатков межбюджетных трансфертов, имеющих целевое назначение, прошлых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280 000,0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238 213,2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85,1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219 Возврат остатков межбюджетных трансфертов, имеющих целевое назначение, прошлых лет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-11 208,2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м</w:t>
            </w:r>
            <w:r>
              <w:rPr>
                <w:sz w:val="20"/>
                <w:szCs w:val="20"/>
              </w:rPr>
              <w:t xml:space="preserve">енее 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В отчетном периоде </w:t>
      </w:r>
      <w:r>
        <w:rPr>
          <w:rFonts w:eastAsia="DejaVu Sans" w:cs="font184"/>
          <w:sz w:val="28"/>
          <w:szCs w:val="28"/>
          <w:lang w:eastAsia="ar-SA"/>
        </w:rPr>
        <w:t xml:space="preserve">окружному</w:t>
      </w:r>
      <w:r>
        <w:rPr>
          <w:rFonts w:eastAsia="DejaVu Sans" w:cs="font184"/>
          <w:sz w:val="28"/>
          <w:szCs w:val="28"/>
          <w:lang w:eastAsia="ar-SA"/>
        </w:rPr>
        <w:t xml:space="preserve"> бюджет</w:t>
      </w:r>
      <w:r>
        <w:rPr>
          <w:rFonts w:eastAsia="DejaVu Sans" w:cs="font184"/>
          <w:sz w:val="28"/>
          <w:szCs w:val="28"/>
          <w:lang w:eastAsia="ar-SA"/>
        </w:rPr>
        <w:t xml:space="preserve">у предоставлены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b/>
          <w:sz w:val="28"/>
          <w:szCs w:val="28"/>
          <w:lang w:eastAsia="ar-SA"/>
        </w:rPr>
        <w:t xml:space="preserve">дотации</w:t>
      </w:r>
      <w:r>
        <w:rPr>
          <w:rFonts w:eastAsia="DejaVu Sans" w:cs="font184"/>
          <w:sz w:val="28"/>
          <w:szCs w:val="28"/>
          <w:lang w:eastAsia="ar-SA"/>
        </w:rPr>
        <w:t xml:space="preserve"> в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объеме </w:t>
      </w:r>
      <w:r>
        <w:rPr>
          <w:rFonts w:eastAsia="DejaVu Sans" w:cs="font184"/>
          <w:sz w:val="28"/>
          <w:szCs w:val="28"/>
          <w:lang w:eastAsia="ar-SA"/>
        </w:rPr>
        <w:t xml:space="preserve">5 121 741,8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тыс. рублей</w:t>
      </w:r>
      <w:r>
        <w:rPr>
          <w:rFonts w:eastAsia="DejaVu Sans" w:cs="font184"/>
          <w:sz w:val="28"/>
          <w:szCs w:val="28"/>
          <w:lang w:eastAsia="ar-SA"/>
        </w:rPr>
        <w:t xml:space="preserve"> (</w:t>
      </w:r>
      <w:r>
        <w:rPr>
          <w:rFonts w:eastAsia="DejaVu Sans" w:cs="font184"/>
          <w:sz w:val="28"/>
          <w:szCs w:val="28"/>
          <w:lang w:eastAsia="ar-SA"/>
        </w:rPr>
        <w:t xml:space="preserve">31,7 </w:t>
      </w:r>
      <w:r>
        <w:rPr>
          <w:rFonts w:eastAsia="DejaVu Sans" w:cs="font184"/>
          <w:sz w:val="28"/>
          <w:szCs w:val="28"/>
          <w:lang w:eastAsia="ar-SA"/>
        </w:rPr>
        <w:t xml:space="preserve">% плановых показателей)</w:t>
      </w:r>
      <w:r>
        <w:rPr>
          <w:rFonts w:eastAsia="DejaVu Sans" w:cs="font184"/>
          <w:sz w:val="28"/>
          <w:szCs w:val="28"/>
          <w:lang w:eastAsia="ar-SA"/>
        </w:rPr>
        <w:t xml:space="preserve">, в том числе: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- </w:t>
      </w:r>
      <w:r>
        <w:rPr>
          <w:rFonts w:eastAsia="DejaVu Sans" w:cs="font184"/>
          <w:sz w:val="28"/>
          <w:szCs w:val="28"/>
          <w:lang w:eastAsia="ar-SA"/>
        </w:rPr>
        <w:t xml:space="preserve">5 076 192,8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тыс. рублей – выравнивание бюджетной обеспеченности;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- </w:t>
      </w:r>
      <w:r>
        <w:rPr>
          <w:rFonts w:eastAsia="DejaVu Sans" w:cs="font184"/>
          <w:sz w:val="28"/>
          <w:szCs w:val="28"/>
          <w:lang w:eastAsia="ar-SA"/>
        </w:rPr>
        <w:t xml:space="preserve">45 549,0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тыс. рублей –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компенсаци</w:t>
      </w:r>
      <w:r>
        <w:rPr>
          <w:rFonts w:eastAsia="DejaVu Sans" w:cs="font184"/>
          <w:sz w:val="28"/>
          <w:szCs w:val="28"/>
          <w:lang w:eastAsia="ar-SA"/>
        </w:rPr>
        <w:t xml:space="preserve">я</w:t>
      </w:r>
      <w:r>
        <w:rPr>
          <w:rFonts w:eastAsia="DejaVu Sans" w:cs="font184"/>
          <w:sz w:val="28"/>
          <w:szCs w:val="28"/>
          <w:lang w:eastAsia="ar-SA"/>
        </w:rPr>
        <w:t xml:space="preserve"> дополнительных расходов на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повышение оплаты труда работников бюджетной сферы и иные цели</w:t>
      </w:r>
      <w:r>
        <w:rPr>
          <w:rFonts w:eastAsia="DejaVu Sans" w:cs="font184"/>
          <w:sz w:val="28"/>
          <w:szCs w:val="28"/>
          <w:lang w:eastAsia="ar-SA"/>
        </w:rPr>
        <w:t xml:space="preserve">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целях софинансирования расходных обязательств округа федеральным бюджетом из </w:t>
      </w:r>
      <w:r>
        <w:rPr>
          <w:rFonts w:eastAsiaTheme="minorHAnsi"/>
          <w:bCs/>
          <w:sz w:val="28"/>
          <w:szCs w:val="28"/>
          <w:lang w:eastAsia="en-US"/>
        </w:rPr>
        <w:t xml:space="preserve">60</w:t>
      </w:r>
      <w:r>
        <w:rPr>
          <w:rFonts w:eastAsiaTheme="minorHAnsi"/>
          <w:bCs/>
          <w:sz w:val="28"/>
          <w:szCs w:val="28"/>
          <w:lang w:eastAsia="en-US"/>
        </w:rPr>
        <w:t xml:space="preserve"> видов утвержденных предоставлен</w:t>
      </w:r>
      <w:r>
        <w:rPr>
          <w:rFonts w:eastAsiaTheme="minorHAnsi"/>
          <w:bCs/>
          <w:sz w:val="28"/>
          <w:szCs w:val="28"/>
          <w:lang w:eastAsia="en-US"/>
        </w:rPr>
        <w:t xml:space="preserve">о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19 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субсиди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й</w:t>
      </w:r>
      <w:r>
        <w:rPr>
          <w:sz w:val="28"/>
          <w:szCs w:val="28"/>
        </w:rPr>
        <w:t xml:space="preserve"> в объеме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651 421,1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т</w:t>
      </w:r>
      <w:r>
        <w:rPr>
          <w:rFonts w:eastAsia="DejaVu Sans" w:cs="font184"/>
          <w:sz w:val="28"/>
          <w:szCs w:val="28"/>
          <w:lang w:eastAsia="ar-SA"/>
        </w:rPr>
        <w:t xml:space="preserve">ыс. рублей (</w:t>
      </w:r>
      <w:r>
        <w:rPr>
          <w:rFonts w:eastAsia="DejaVu Sans" w:cs="font184"/>
          <w:sz w:val="28"/>
          <w:szCs w:val="28"/>
          <w:lang w:eastAsia="ar-SA"/>
        </w:rPr>
        <w:t xml:space="preserve">9,9 </w:t>
      </w:r>
      <w:r>
        <w:rPr>
          <w:rFonts w:eastAsia="DejaVu Sans" w:cs="font184"/>
          <w:sz w:val="28"/>
          <w:szCs w:val="28"/>
          <w:lang w:eastAsia="ar-SA"/>
        </w:rPr>
        <w:t xml:space="preserve">%), </w:t>
      </w:r>
      <w:r>
        <w:rPr>
          <w:rFonts w:eastAsiaTheme="minorHAnsi"/>
          <w:bCs/>
          <w:sz w:val="28"/>
          <w:szCs w:val="28"/>
          <w:lang w:eastAsia="en-US"/>
        </w:rPr>
        <w:t xml:space="preserve">из них</w:t>
      </w:r>
      <w:r>
        <w:rPr>
          <w:rFonts w:eastAsiaTheme="minorHAnsi"/>
          <w:bCs/>
          <w:sz w:val="28"/>
          <w:szCs w:val="28"/>
          <w:lang w:eastAsia="en-US"/>
        </w:rPr>
        <w:t xml:space="preserve"> в полном объеме</w:t>
      </w:r>
      <w:r>
        <w:rPr>
          <w:rFonts w:eastAsiaTheme="minorHAnsi"/>
          <w:bCs/>
          <w:sz w:val="28"/>
          <w:szCs w:val="28"/>
          <w:lang w:eastAsia="en-US"/>
        </w:rPr>
        <w:t xml:space="preserve">: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 </w:t>
      </w:r>
      <w:r>
        <w:rPr>
          <w:rFonts w:eastAsiaTheme="minorHAnsi"/>
          <w:bCs/>
          <w:sz w:val="28"/>
          <w:szCs w:val="28"/>
          <w:lang w:eastAsia="en-US"/>
        </w:rPr>
        <w:t xml:space="preserve">10 815,7 </w:t>
      </w:r>
      <w:r>
        <w:rPr>
          <w:rFonts w:eastAsiaTheme="minorHAnsi"/>
          <w:bCs/>
          <w:sz w:val="28"/>
          <w:szCs w:val="28"/>
          <w:lang w:eastAsia="en-US"/>
        </w:rPr>
        <w:t xml:space="preserve">тыс. рублей – </w:t>
      </w:r>
      <w:r>
        <w:rPr>
          <w:sz w:val="28"/>
          <w:szCs w:val="28"/>
        </w:rPr>
        <w:t xml:space="preserve">обеспечение жилыми помещениями</w:t>
      </w:r>
      <w:r>
        <w:rPr>
          <w:sz w:val="28"/>
          <w:szCs w:val="28"/>
        </w:rPr>
        <w:br/>
        <w:t xml:space="preserve">детей-сирот, детей, оставшихся без попечения родителей и лиц из числа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детей-сирот и детей, оставшихся без попечения родителей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- 4 640,2 тыс. рублей – возмещение части понесенных затрат на создание и (или) модернизацию тепличных комплексов для производства овощей в защищенном грунте и </w:t>
      </w:r>
      <w:r>
        <w:rPr>
          <w:sz w:val="28"/>
          <w:szCs w:val="28"/>
        </w:rPr>
        <w:t xml:space="preserve">селекционно</w:t>
      </w:r>
      <w:r>
        <w:rPr>
          <w:sz w:val="28"/>
          <w:szCs w:val="28"/>
        </w:rPr>
        <w:t xml:space="preserve">-семеноводческих центров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растениеводстве в Дальневосточном федеральном округе.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Субвенции</w:t>
      </w:r>
      <w:r>
        <w:rPr>
          <w:rFonts w:eastAsiaTheme="minorHAnsi"/>
          <w:bCs/>
          <w:sz w:val="28"/>
          <w:szCs w:val="28"/>
          <w:lang w:eastAsia="en-US"/>
        </w:rPr>
        <w:t xml:space="preserve"> на финансовое обеспечение расходных обязательств округа поступили по 9 направлениям (из 11 плановых) в сумме </w:t>
      </w:r>
      <w:r>
        <w:rPr>
          <w:rFonts w:eastAsiaTheme="minorHAnsi"/>
          <w:bCs/>
          <w:sz w:val="28"/>
          <w:szCs w:val="28"/>
          <w:lang w:eastAsia="en-US"/>
        </w:rPr>
        <w:t xml:space="preserve">64 808,1 </w:t>
      </w:r>
      <w:r>
        <w:rPr>
          <w:rFonts w:eastAsiaTheme="minorHAnsi"/>
          <w:bCs/>
          <w:sz w:val="28"/>
          <w:szCs w:val="28"/>
          <w:lang w:eastAsia="en-US"/>
        </w:rPr>
        <w:t xml:space="preserve">тыс. рублей, из</w:t>
      </w:r>
      <w:r>
        <w:rPr>
          <w:rFonts w:eastAsiaTheme="minorHAnsi"/>
          <w:bCs/>
          <w:sz w:val="28"/>
          <w:szCs w:val="28"/>
          <w:lang w:eastAsia="en-US"/>
        </w:rPr>
        <w:t xml:space="preserve"> </w:t>
      </w:r>
      <w:r>
        <w:rPr>
          <w:rFonts w:eastAsiaTheme="minorHAnsi"/>
          <w:bCs/>
          <w:sz w:val="28"/>
          <w:szCs w:val="28"/>
          <w:lang w:eastAsia="en-US"/>
        </w:rPr>
        <w:t xml:space="preserve">них </w:t>
      </w:r>
      <w:r>
        <w:rPr>
          <w:rFonts w:eastAsiaTheme="minorHAnsi"/>
          <w:bCs/>
          <w:sz w:val="28"/>
          <w:szCs w:val="28"/>
          <w:lang w:eastAsia="en-US"/>
        </w:rPr>
        <w:t xml:space="preserve">20</w:t>
      </w:r>
      <w:r>
        <w:rPr>
          <w:rFonts w:eastAsiaTheme="minorHAnsi"/>
          <w:bCs/>
          <w:sz w:val="28"/>
          <w:szCs w:val="28"/>
          <w:lang w:eastAsia="en-US"/>
        </w:rPr>
        <w:t xml:space="preserve"> </w:t>
      </w:r>
      <w:r>
        <w:rPr>
          <w:rFonts w:eastAsiaTheme="minorHAnsi"/>
          <w:bCs/>
          <w:sz w:val="28"/>
          <w:szCs w:val="28"/>
          <w:lang w:eastAsia="en-US"/>
        </w:rPr>
        <w:t xml:space="preserve">000</w:t>
      </w:r>
      <w:r>
        <w:rPr>
          <w:rFonts w:eastAsiaTheme="minorHAnsi"/>
          <w:bCs/>
          <w:sz w:val="28"/>
          <w:szCs w:val="28"/>
          <w:lang w:eastAsia="en-US"/>
        </w:rPr>
        <w:t xml:space="preserve">,</w:t>
      </w:r>
      <w:r>
        <w:rPr>
          <w:rFonts w:eastAsiaTheme="minorHAnsi"/>
          <w:bCs/>
          <w:sz w:val="28"/>
          <w:szCs w:val="28"/>
          <w:lang w:eastAsia="en-US"/>
        </w:rPr>
        <w:t xml:space="preserve">0 </w:t>
      </w:r>
      <w:r>
        <w:rPr>
          <w:rFonts w:eastAsiaTheme="minorHAnsi"/>
          <w:bCs/>
          <w:sz w:val="28"/>
          <w:szCs w:val="28"/>
          <w:lang w:eastAsia="en-US"/>
        </w:rPr>
        <w:t xml:space="preserve">тыс. рублей – на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осуществление мер пожарной безопасности и</w:t>
      </w:r>
      <w:r>
        <w:rPr>
          <w:rFonts w:eastAsiaTheme="minorHAnsi"/>
          <w:bCs/>
          <w:sz w:val="28"/>
          <w:szCs w:val="28"/>
          <w:lang w:eastAsia="en-US"/>
        </w:rPr>
        <w:t xml:space="preserve"> </w:t>
      </w:r>
      <w:r>
        <w:rPr>
          <w:rFonts w:eastAsiaTheme="minorHAnsi"/>
          <w:bCs/>
          <w:sz w:val="28"/>
          <w:szCs w:val="28"/>
          <w:lang w:eastAsia="en-US"/>
        </w:rPr>
        <w:t xml:space="preserve">тушение лесных пожаров.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И</w:t>
      </w:r>
      <w:r>
        <w:rPr>
          <w:rFonts w:eastAsia="DejaVu Sans" w:cs="font184"/>
          <w:b/>
          <w:sz w:val="28"/>
          <w:szCs w:val="28"/>
          <w:lang w:eastAsia="ar-SA"/>
        </w:rPr>
        <w:t xml:space="preserve">ные межбюджетные трансферты</w:t>
      </w:r>
      <w:r>
        <w:rPr>
          <w:rFonts w:eastAsia="DejaVu Sans" w:cs="font184"/>
          <w:sz w:val="28"/>
          <w:szCs w:val="28"/>
          <w:lang w:eastAsia="ar-SA"/>
        </w:rPr>
        <w:t xml:space="preserve"> поступили в сумме </w:t>
      </w:r>
      <w:r>
        <w:rPr>
          <w:rFonts w:eastAsia="DejaVu Sans" w:cs="font184"/>
          <w:sz w:val="28"/>
          <w:szCs w:val="28"/>
          <w:lang w:eastAsia="ar-SA"/>
        </w:rPr>
        <w:t xml:space="preserve">64 792,3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тыс. рублей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(</w:t>
      </w:r>
      <w:r>
        <w:rPr>
          <w:rFonts w:eastAsia="DejaVu Sans" w:cs="font184"/>
          <w:sz w:val="28"/>
          <w:szCs w:val="28"/>
          <w:lang w:eastAsia="ar-SA"/>
        </w:rPr>
        <w:t xml:space="preserve">6 </w:t>
      </w:r>
      <w:r>
        <w:rPr>
          <w:rFonts w:eastAsia="DejaVu Sans" w:cs="font184"/>
          <w:sz w:val="28"/>
          <w:szCs w:val="28"/>
          <w:lang w:eastAsia="ar-SA"/>
        </w:rPr>
        <w:t xml:space="preserve">плановых)</w:t>
      </w:r>
      <w:r>
        <w:rPr>
          <w:rFonts w:eastAsia="DejaVu Sans" w:cs="font184"/>
          <w:sz w:val="28"/>
          <w:szCs w:val="28"/>
          <w:lang w:eastAsia="ar-SA"/>
        </w:rPr>
        <w:t xml:space="preserve">, и</w:t>
      </w:r>
      <w:r>
        <w:rPr>
          <w:rFonts w:eastAsia="DejaVu Sans" w:cs="font184"/>
          <w:sz w:val="28"/>
          <w:szCs w:val="28"/>
          <w:lang w:eastAsia="ar-SA"/>
        </w:rPr>
        <w:t xml:space="preserve">з</w:t>
      </w:r>
      <w:r>
        <w:rPr>
          <w:rFonts w:eastAsia="DejaVu Sans" w:cs="font184"/>
          <w:sz w:val="28"/>
          <w:szCs w:val="28"/>
          <w:lang w:eastAsia="ar-SA"/>
        </w:rPr>
        <w:t xml:space="preserve"> них 54 977,3 тыс. рублей – 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</w:r>
      <w:r>
        <w:rPr>
          <w:rFonts w:eastAsia="DejaVu Sans" w:cs="font184"/>
          <w:sz w:val="28"/>
          <w:szCs w:val="28"/>
          <w:lang w:eastAsia="ar-SA"/>
        </w:rPr>
        <w:t xml:space="preserve">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highlight w:val="yellow"/>
          <w:lang w:eastAsia="ar-SA"/>
        </w:rPr>
      </w:pPr>
      <w:r>
        <w:rPr>
          <w:rFonts w:eastAsia="DejaVu Sans" w:cs="font184"/>
          <w:b/>
          <w:sz w:val="28"/>
          <w:szCs w:val="28"/>
          <w:lang w:eastAsia="ar-SA"/>
        </w:rPr>
        <w:t xml:space="preserve">П</w:t>
      </w:r>
      <w:r>
        <w:rPr>
          <w:rFonts w:eastAsia="DejaVu Sans" w:cs="font184"/>
          <w:b/>
          <w:sz w:val="28"/>
          <w:szCs w:val="28"/>
          <w:lang w:eastAsia="ar-SA"/>
        </w:rPr>
        <w:t xml:space="preserve">ублично-правов</w:t>
      </w:r>
      <w:r>
        <w:rPr>
          <w:rFonts w:eastAsia="DejaVu Sans" w:cs="font184"/>
          <w:b/>
          <w:sz w:val="28"/>
          <w:szCs w:val="28"/>
          <w:lang w:eastAsia="ar-SA"/>
        </w:rPr>
        <w:t xml:space="preserve">ой </w:t>
      </w:r>
      <w:r>
        <w:rPr>
          <w:rFonts w:eastAsia="DejaVu Sans" w:cs="font184"/>
          <w:b/>
          <w:sz w:val="28"/>
          <w:szCs w:val="28"/>
          <w:lang w:eastAsia="ar-SA"/>
        </w:rPr>
        <w:t xml:space="preserve">компани</w:t>
      </w:r>
      <w:r>
        <w:rPr>
          <w:rFonts w:eastAsia="DejaVu Sans" w:cs="font184"/>
          <w:b/>
          <w:sz w:val="28"/>
          <w:szCs w:val="28"/>
          <w:lang w:eastAsia="ar-SA"/>
        </w:rPr>
        <w:t xml:space="preserve">ей «</w:t>
      </w:r>
      <w:r>
        <w:rPr>
          <w:rFonts w:eastAsia="DejaVu Sans" w:cs="font184"/>
          <w:b/>
          <w:sz w:val="28"/>
          <w:szCs w:val="28"/>
          <w:lang w:eastAsia="ar-SA"/>
        </w:rPr>
        <w:t xml:space="preserve">Фонд развития территорий</w:t>
      </w:r>
      <w:r>
        <w:rPr>
          <w:rFonts w:eastAsia="DejaVu Sans" w:cs="font184"/>
          <w:b/>
          <w:sz w:val="28"/>
          <w:szCs w:val="28"/>
          <w:lang w:eastAsia="ar-SA"/>
        </w:rPr>
        <w:t xml:space="preserve">»</w:t>
      </w:r>
      <w:r>
        <w:rPr>
          <w:rStyle w:val="4381"/>
          <w:rFonts w:eastAsia="DejaVu Sans" w:cs="font184"/>
          <w:sz w:val="28"/>
          <w:szCs w:val="28"/>
          <w:lang w:eastAsia="ar-SA"/>
        </w:rPr>
        <w:footnoteReference w:id="175"/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вне утвержденных плановых значений предоставлены средства </w:t>
      </w:r>
      <w:r>
        <w:rPr>
          <w:rFonts w:eastAsia="DejaVu Sans" w:cs="font184"/>
          <w:sz w:val="28"/>
          <w:szCs w:val="28"/>
          <w:lang w:eastAsia="ar-SA"/>
        </w:rPr>
        <w:t xml:space="preserve">на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обеспечение мероприятий по переселению граждан из аварийного жилищного фонда, в том числе</w:t>
      </w:r>
      <w:r>
        <w:rPr>
          <w:rFonts w:eastAsia="DejaVu Sans" w:cs="font184"/>
          <w:sz w:val="28"/>
          <w:szCs w:val="28"/>
          <w:lang w:eastAsia="ar-SA"/>
        </w:rPr>
        <w:t xml:space="preserve">,</w:t>
      </w:r>
      <w:r>
        <w:rPr>
          <w:rFonts w:eastAsia="DejaVu Sans" w:cs="font184"/>
          <w:sz w:val="28"/>
          <w:szCs w:val="28"/>
          <w:lang w:eastAsia="ar-SA"/>
        </w:rPr>
        <w:t xml:space="preserve"> с учетом необходимости развития малоэтажного жилищного строительства</w:t>
      </w:r>
      <w:r>
        <w:rPr>
          <w:rFonts w:eastAsia="DejaVu Sans" w:cs="font184"/>
          <w:sz w:val="28"/>
          <w:szCs w:val="28"/>
          <w:lang w:eastAsia="ar-SA"/>
        </w:rPr>
        <w:t xml:space="preserve"> в сумме </w:t>
      </w:r>
      <w:r>
        <w:rPr>
          <w:rFonts w:eastAsia="DejaVu Sans" w:cs="font184"/>
          <w:sz w:val="28"/>
          <w:szCs w:val="28"/>
          <w:lang w:eastAsia="ar-SA"/>
        </w:rPr>
        <w:t xml:space="preserve">39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177</w:t>
      </w:r>
      <w:r>
        <w:rPr>
          <w:rFonts w:eastAsia="DejaVu Sans" w:cs="font184"/>
          <w:sz w:val="28"/>
          <w:szCs w:val="28"/>
          <w:lang w:eastAsia="ar-SA"/>
        </w:rPr>
        <w:t xml:space="preserve">,6 тыс. рублей</w:t>
      </w:r>
      <w:r>
        <w:rPr>
          <w:rStyle w:val="4381"/>
          <w:rFonts w:eastAsia="DejaVu Sans" w:cs="font184"/>
          <w:sz w:val="28"/>
          <w:szCs w:val="28"/>
          <w:lang w:eastAsia="ar-SA"/>
        </w:rPr>
        <w:footnoteReference w:id="176"/>
      </w:r>
      <w:r>
        <w:rPr>
          <w:rFonts w:eastAsia="DejaVu Sans" w:cs="font184"/>
          <w:sz w:val="28"/>
          <w:szCs w:val="28"/>
          <w:lang w:eastAsia="ar-SA"/>
        </w:rPr>
        <w:t xml:space="preserve">.</w:t>
      </w:r>
      <w:r>
        <w:rPr>
          <w:rFonts w:eastAsia="DejaVu Sans" w:cs="font184"/>
          <w:sz w:val="28"/>
          <w:szCs w:val="28"/>
          <w:highlight w:val="yellow"/>
          <w:lang w:eastAsia="ar-SA"/>
        </w:rPr>
      </w:r>
      <w:r>
        <w:rPr>
          <w:rFonts w:eastAsia="DejaVu Sans" w:cs="font184"/>
          <w:sz w:val="28"/>
          <w:szCs w:val="28"/>
          <w:highlight w:val="yellow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b/>
          <w:sz w:val="28"/>
          <w:szCs w:val="28"/>
          <w:lang w:eastAsia="ar-SA"/>
        </w:rPr>
        <w:t xml:space="preserve">Прочие безвозмездные поступления</w:t>
      </w:r>
      <w:r>
        <w:rPr>
          <w:rFonts w:eastAsia="DejaVu Sans" w:cs="font184"/>
          <w:sz w:val="28"/>
          <w:szCs w:val="28"/>
          <w:lang w:eastAsia="ar-SA"/>
        </w:rPr>
        <w:t xml:space="preserve"> составили </w:t>
      </w:r>
      <w:r>
        <w:rPr>
          <w:rFonts w:eastAsia="DejaVu Sans" w:cs="font184"/>
          <w:sz w:val="28"/>
          <w:szCs w:val="28"/>
          <w:lang w:eastAsia="ar-SA"/>
        </w:rPr>
        <w:t xml:space="preserve">757 709,8 тыс. рублей, </w:t>
      </w:r>
      <w:r>
        <w:rPr>
          <w:rFonts w:eastAsia="DejaVu Sans" w:cs="font184"/>
          <w:sz w:val="28"/>
          <w:szCs w:val="28"/>
          <w:lang w:eastAsia="ar-SA"/>
        </w:rPr>
        <w:t xml:space="preserve">из них </w:t>
      </w:r>
      <w:r>
        <w:rPr>
          <w:rFonts w:eastAsia="DejaVu Sans" w:cs="font184"/>
          <w:sz w:val="28"/>
          <w:szCs w:val="28"/>
          <w:lang w:eastAsia="ar-SA"/>
        </w:rPr>
        <w:t xml:space="preserve">737 709,8 тыс. рублей – </w:t>
      </w:r>
      <w:r>
        <w:rPr>
          <w:rFonts w:eastAsia="DejaVu Sans" w:cs="font184"/>
          <w:sz w:val="28"/>
          <w:szCs w:val="28"/>
          <w:lang w:eastAsia="ar-SA"/>
        </w:rPr>
        <w:t xml:space="preserve">целевые взносы от Публичного акционерного общества </w:t>
      </w:r>
      <w:r>
        <w:rPr>
          <w:rFonts w:eastAsia="DejaVu Sans" w:cs="font184"/>
          <w:sz w:val="28"/>
          <w:szCs w:val="28"/>
          <w:lang w:eastAsia="ar-SA"/>
        </w:rPr>
        <w:t xml:space="preserve">«</w:t>
      </w:r>
      <w:r>
        <w:rPr>
          <w:rFonts w:eastAsia="DejaVu Sans" w:cs="font184"/>
          <w:sz w:val="28"/>
          <w:szCs w:val="28"/>
          <w:lang w:eastAsia="ar-SA"/>
        </w:rPr>
        <w:t xml:space="preserve">Федеральная гидрогенерирующая компания – РусГидро</w:t>
      </w:r>
      <w:r>
        <w:rPr>
          <w:rFonts w:eastAsia="DejaVu Sans" w:cs="font184"/>
          <w:sz w:val="28"/>
          <w:szCs w:val="28"/>
          <w:lang w:eastAsia="ar-SA"/>
        </w:rPr>
        <w:t xml:space="preserve">»</w:t>
      </w:r>
      <w:r>
        <w:rPr>
          <w:rFonts w:eastAsia="DejaVu Sans" w:cs="font184"/>
          <w:sz w:val="28"/>
          <w:szCs w:val="28"/>
          <w:lang w:eastAsia="ar-SA"/>
        </w:rPr>
        <w:t xml:space="preserve">,</w:t>
      </w:r>
      <w:r>
        <w:rPr>
          <w:rFonts w:eastAsia="DejaVu Sans" w:cs="font184"/>
          <w:sz w:val="28"/>
          <w:szCs w:val="28"/>
          <w:lang w:eastAsia="ar-SA"/>
        </w:rPr>
        <w:t xml:space="preserve"> в связи с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доведением до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базового уровня цен (тарифов) на электрическую энергию (мощность) на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202</w:t>
      </w:r>
      <w:r>
        <w:rPr>
          <w:rFonts w:eastAsia="DejaVu Sans" w:cs="font184"/>
          <w:sz w:val="28"/>
          <w:szCs w:val="28"/>
          <w:lang w:eastAsia="ar-SA"/>
        </w:rPr>
        <w:t xml:space="preserve">6 </w:t>
      </w:r>
      <w:r>
        <w:rPr>
          <w:rFonts w:eastAsia="DejaVu Sans" w:cs="font184"/>
          <w:sz w:val="28"/>
          <w:szCs w:val="28"/>
          <w:lang w:eastAsia="ar-SA"/>
        </w:rPr>
        <w:t xml:space="preserve">год для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субъектов, входящих в состав Дальневосточного федерального округа, в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соответствии с Распоряжением Правительства Российской Федерации от</w:t>
      </w:r>
      <w:r>
        <w:rPr>
          <w:rFonts w:eastAsia="DejaVu Sans" w:cs="font184"/>
          <w:sz w:val="28"/>
          <w:szCs w:val="28"/>
          <w:lang w:eastAsia="ar-SA"/>
        </w:rPr>
        <w:t xml:space="preserve"> 23 декабря 2025 года № 3995-р</w:t>
      </w:r>
      <w:r>
        <w:rPr>
          <w:rFonts w:eastAsia="DejaVu Sans" w:cs="font184"/>
          <w:sz w:val="28"/>
          <w:szCs w:val="28"/>
          <w:lang w:eastAsia="ar-SA"/>
        </w:rPr>
        <w:t xml:space="preserve">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b/>
          <w:sz w:val="28"/>
          <w:szCs w:val="28"/>
          <w:lang w:eastAsia="ar-SA"/>
        </w:rPr>
        <w:t xml:space="preserve">Доходы окружного бюджета от возврата</w:t>
      </w:r>
      <w:r>
        <w:rPr>
          <w:rFonts w:eastAsia="DejaVu Sans" w:cs="font184"/>
          <w:sz w:val="28"/>
          <w:szCs w:val="28"/>
          <w:lang w:eastAsia="ar-SA"/>
        </w:rPr>
        <w:t xml:space="preserve"> остатков субсидий, субвенций и иных межбюджетных трансфертов, имеющих целевое назначение, прошлых лет в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отчетном периоде составили </w:t>
      </w:r>
      <w:r>
        <w:rPr>
          <w:rFonts w:eastAsia="DejaVu Sans" w:cs="font184"/>
          <w:sz w:val="28"/>
          <w:szCs w:val="28"/>
          <w:lang w:eastAsia="ar-SA"/>
        </w:rPr>
        <w:t xml:space="preserve">238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213</w:t>
      </w:r>
      <w:r>
        <w:rPr>
          <w:rFonts w:eastAsia="DejaVu Sans" w:cs="font184"/>
          <w:sz w:val="28"/>
          <w:szCs w:val="28"/>
          <w:lang w:eastAsia="ar-SA"/>
        </w:rPr>
        <w:t xml:space="preserve">,</w:t>
      </w:r>
      <w:r>
        <w:rPr>
          <w:rFonts w:eastAsia="DejaVu Sans" w:cs="font184"/>
          <w:sz w:val="28"/>
          <w:szCs w:val="28"/>
          <w:lang w:eastAsia="ar-SA"/>
        </w:rPr>
        <w:t xml:space="preserve">2</w:t>
      </w:r>
      <w:r>
        <w:rPr>
          <w:rFonts w:eastAsia="DejaVu Sans" w:cs="font184"/>
          <w:sz w:val="28"/>
          <w:szCs w:val="28"/>
          <w:lang w:eastAsia="ar-SA"/>
        </w:rPr>
        <w:t xml:space="preserve"> тыс. рублей, </w:t>
      </w:r>
      <w:r>
        <w:rPr>
          <w:rFonts w:eastAsia="DejaVu Sans" w:cs="font184"/>
          <w:sz w:val="28"/>
          <w:szCs w:val="28"/>
          <w:lang w:eastAsia="ar-SA"/>
        </w:rPr>
        <w:t xml:space="preserve">из них </w:t>
      </w:r>
      <w:r>
        <w:rPr>
          <w:rFonts w:eastAsia="DejaVu Sans" w:cs="font184"/>
          <w:sz w:val="28"/>
          <w:szCs w:val="28"/>
          <w:lang w:eastAsia="ar-SA"/>
        </w:rPr>
        <w:t xml:space="preserve">165 344,8</w:t>
      </w:r>
      <w:r>
        <w:rPr>
          <w:rFonts w:eastAsia="DejaVu Sans" w:cs="font184"/>
          <w:sz w:val="28"/>
          <w:szCs w:val="28"/>
          <w:lang w:eastAsia="ar-SA"/>
        </w:rPr>
        <w:t xml:space="preserve"> тыс. рублей – </w:t>
      </w:r>
      <w:r>
        <w:rPr>
          <w:rFonts w:eastAsia="DejaVu Sans" w:cs="font184"/>
          <w:sz w:val="28"/>
          <w:szCs w:val="28"/>
          <w:lang w:eastAsia="ar-SA"/>
        </w:rPr>
        <w:t xml:space="preserve">Департамент строительства и жилищно-коммунального хозяйства Чукотского автономного округа </w:t>
      </w:r>
      <w:r>
        <w:rPr>
          <w:rFonts w:eastAsia="DejaVu Sans" w:cs="font184"/>
          <w:sz w:val="28"/>
          <w:szCs w:val="28"/>
          <w:lang w:eastAsia="ar-SA"/>
        </w:rPr>
        <w:t xml:space="preserve">и </w:t>
      </w:r>
      <w:r>
        <w:rPr>
          <w:rFonts w:eastAsia="DejaVu Sans" w:cs="font184"/>
          <w:sz w:val="28"/>
          <w:szCs w:val="28"/>
          <w:lang w:eastAsia="ar-SA"/>
        </w:rPr>
        <w:t xml:space="preserve">45 863,6</w:t>
      </w:r>
      <w:r>
        <w:rPr>
          <w:rFonts w:eastAsia="DejaVu Sans" w:cs="font184"/>
          <w:sz w:val="28"/>
          <w:szCs w:val="28"/>
          <w:lang w:eastAsia="ar-SA"/>
        </w:rPr>
        <w:t xml:space="preserve"> тыс. рублей –</w:t>
      </w:r>
      <w:r>
        <w:rPr>
          <w:rFonts w:eastAsia="DejaVu Sans" w:cs="font184"/>
          <w:sz w:val="28"/>
          <w:szCs w:val="28"/>
          <w:lang w:eastAsia="ar-SA"/>
        </w:rPr>
        <w:t xml:space="preserve"> </w:t>
      </w:r>
      <w:r>
        <w:rPr>
          <w:rFonts w:eastAsia="DejaVu Sans" w:cs="font184"/>
          <w:sz w:val="28"/>
          <w:szCs w:val="28"/>
          <w:lang w:eastAsia="ar-SA"/>
        </w:rPr>
        <w:t xml:space="preserve">Департамент промышленной политики Чукотского автономного округа</w:t>
      </w:r>
      <w:r>
        <w:rPr>
          <w:rFonts w:eastAsia="DejaVu Sans" w:cs="font184"/>
          <w:sz w:val="28"/>
          <w:szCs w:val="28"/>
          <w:lang w:eastAsia="ar-SA"/>
        </w:rPr>
        <w:t xml:space="preserve">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highlight w:val="yellow"/>
          <w:lang w:eastAsia="ar-SA"/>
        </w:rPr>
      </w:pPr>
      <w:r>
        <w:rPr>
          <w:rFonts w:eastAsia="DejaVu Sans" w:cs="font184"/>
          <w:b/>
          <w:sz w:val="28"/>
          <w:szCs w:val="28"/>
          <w:lang w:eastAsia="ar-SA"/>
        </w:rPr>
        <w:t xml:space="preserve">Возврат остатков</w:t>
      </w:r>
      <w:r>
        <w:rPr>
          <w:rFonts w:eastAsia="DejaVu Sans" w:cs="font184"/>
          <w:sz w:val="28"/>
          <w:szCs w:val="28"/>
          <w:lang w:eastAsia="ar-SA"/>
        </w:rPr>
        <w:t xml:space="preserve"> межбюджетных трансфертов, имеющих целевое назначение, прошлых лет составил </w:t>
      </w:r>
      <w:r>
        <w:rPr>
          <w:rFonts w:eastAsia="DejaVu Sans" w:cs="font184"/>
          <w:sz w:val="28"/>
          <w:szCs w:val="28"/>
          <w:lang w:eastAsia="ar-SA"/>
        </w:rPr>
        <w:t xml:space="preserve">11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208,2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т</w:t>
      </w:r>
      <w:r>
        <w:rPr>
          <w:rFonts w:eastAsia="DejaVu Sans" w:cs="font184"/>
          <w:sz w:val="28"/>
          <w:szCs w:val="28"/>
          <w:lang w:eastAsia="ar-SA"/>
        </w:rPr>
        <w:t xml:space="preserve">ыс. рублей, из них:</w:t>
      </w:r>
      <w:r>
        <w:rPr>
          <w:rFonts w:eastAsia="DejaVu Sans" w:cs="font184"/>
          <w:sz w:val="28"/>
          <w:szCs w:val="28"/>
          <w:highlight w:val="yellow"/>
          <w:lang w:eastAsia="ar-SA"/>
        </w:rPr>
      </w:r>
      <w:r>
        <w:rPr>
          <w:rFonts w:eastAsia="DejaVu Sans" w:cs="font184"/>
          <w:sz w:val="28"/>
          <w:szCs w:val="28"/>
          <w:highlight w:val="yellow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- 4 495,0 тыс. рублей – субсидия на создание комфортной городской среды в малых городах и исторических поселениях </w:t>
      </w:r>
      <w:r>
        <w:rPr>
          <w:rFonts w:eastAsia="DejaVu Sans" w:cs="font184"/>
          <w:sz w:val="28"/>
          <w:szCs w:val="28"/>
          <w:lang w:eastAsia="ar-SA"/>
        </w:rPr>
        <w:t xml:space="preserve">– </w:t>
      </w:r>
      <w:r>
        <w:rPr>
          <w:rFonts w:eastAsia="DejaVu Sans" w:cs="font184"/>
          <w:sz w:val="28"/>
          <w:szCs w:val="28"/>
          <w:lang w:eastAsia="ar-SA"/>
        </w:rPr>
        <w:t xml:space="preserve">победителях Всероссийского конкурса лучших проектов создания комфортной городской среды</w:t>
      </w:r>
      <w:r>
        <w:rPr>
          <w:rFonts w:eastAsia="DejaVu Sans" w:cs="font184"/>
          <w:sz w:val="28"/>
          <w:szCs w:val="28"/>
          <w:lang w:eastAsia="ar-SA"/>
        </w:rPr>
        <w:t xml:space="preserve"> (</w:t>
      </w:r>
      <w:r>
        <w:rPr>
          <w:rFonts w:eastAsia="DejaVu Sans" w:cs="font184"/>
          <w:sz w:val="28"/>
          <w:szCs w:val="28"/>
          <w:lang w:eastAsia="ar-SA"/>
        </w:rPr>
        <w:t xml:space="preserve">Департамент строительства и жилищно-коммунального хозяйства Чукотского автономного округа</w:t>
      </w:r>
      <w:r>
        <w:rPr>
          <w:rFonts w:eastAsia="DejaVu Sans" w:cs="font184"/>
          <w:sz w:val="28"/>
          <w:szCs w:val="28"/>
          <w:lang w:eastAsia="ar-SA"/>
        </w:rPr>
        <w:t xml:space="preserve">);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-</w:t>
      </w:r>
      <w:r>
        <w:rPr>
          <w:rFonts w:eastAsia="DejaVu Sans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3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838</w:t>
      </w:r>
      <w:r>
        <w:rPr>
          <w:rFonts w:eastAsia="DejaVu Sans" w:cs="font184"/>
          <w:sz w:val="28"/>
          <w:szCs w:val="28"/>
          <w:lang w:eastAsia="ar-SA"/>
        </w:rPr>
        <w:t xml:space="preserve">,2 тыс. рублей – </w:t>
      </w:r>
      <w:r>
        <w:rPr>
          <w:rFonts w:eastAsia="DejaVu Sans" w:cs="font184"/>
          <w:sz w:val="28"/>
          <w:szCs w:val="28"/>
          <w:lang w:eastAsia="ar-SA"/>
        </w:rPr>
        <w:t xml:space="preserve">субсиди</w:t>
      </w:r>
      <w:r>
        <w:rPr>
          <w:rFonts w:eastAsia="DejaVu Sans" w:cs="font184"/>
          <w:sz w:val="28"/>
          <w:szCs w:val="28"/>
          <w:lang w:eastAsia="ar-SA"/>
        </w:rPr>
        <w:t xml:space="preserve">я</w:t>
      </w:r>
      <w:r>
        <w:rPr>
          <w:rFonts w:eastAsia="DejaVu Sans" w:cs="font184"/>
          <w:sz w:val="28"/>
          <w:szCs w:val="28"/>
          <w:lang w:eastAsia="ar-SA"/>
        </w:rPr>
        <w:t xml:space="preserve"> на софинансирование расходных обязательств субъектов Российской Федерации, возникающих при реализации региональных проектов модернизации первичного звена здравоохранения</w:t>
      </w:r>
      <w:r>
        <w:rPr>
          <w:rFonts w:eastAsia="DejaVu Sans" w:cs="font184"/>
          <w:sz w:val="28"/>
          <w:szCs w:val="28"/>
          <w:lang w:eastAsia="ar-SA"/>
        </w:rPr>
        <w:t xml:space="preserve"> (</w:t>
      </w:r>
      <w:r>
        <w:rPr>
          <w:rFonts w:eastAsia="DejaVu Sans" w:cs="font184"/>
          <w:sz w:val="28"/>
          <w:szCs w:val="28"/>
          <w:lang w:eastAsia="ar-SA"/>
        </w:rPr>
        <w:t xml:space="preserve">Департамент здравоохранения Чукотского автономного округа</w:t>
      </w:r>
      <w:r>
        <w:rPr>
          <w:rFonts w:eastAsia="DejaVu Sans" w:cs="font184"/>
          <w:sz w:val="28"/>
          <w:szCs w:val="28"/>
          <w:lang w:eastAsia="ar-SA"/>
        </w:rPr>
        <w:t xml:space="preserve">);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 w:cs="font184"/>
          <w:sz w:val="28"/>
          <w:szCs w:val="28"/>
          <w:lang w:eastAsia="ar-SA"/>
        </w:rPr>
      </w:pPr>
      <w:r>
        <w:rPr>
          <w:rFonts w:eastAsia="DejaVu Sans" w:cs="font184"/>
          <w:sz w:val="28"/>
          <w:szCs w:val="28"/>
          <w:lang w:eastAsia="ar-SA"/>
        </w:rPr>
        <w:t xml:space="preserve">-</w:t>
      </w:r>
      <w:r>
        <w:rPr>
          <w:rFonts w:eastAsia="DejaVu Sans" w:cs="font184"/>
          <w:sz w:val="28"/>
          <w:szCs w:val="28"/>
          <w:lang w:eastAsia="ar-SA"/>
        </w:rPr>
        <w:t xml:space="preserve"> </w:t>
      </w:r>
      <w:r>
        <w:rPr>
          <w:rFonts w:eastAsia="DejaVu Sans" w:cs="font184"/>
          <w:sz w:val="28"/>
          <w:szCs w:val="28"/>
          <w:lang w:eastAsia="ar-SA"/>
        </w:rPr>
        <w:t xml:space="preserve">1 900,0 тыс. рублей – субсиди</w:t>
      </w:r>
      <w:r>
        <w:rPr>
          <w:rFonts w:eastAsia="DejaVu Sans" w:cs="font184"/>
          <w:sz w:val="28"/>
          <w:szCs w:val="28"/>
          <w:lang w:eastAsia="ar-SA"/>
        </w:rPr>
        <w:t xml:space="preserve">я</w:t>
      </w:r>
      <w:r>
        <w:rPr>
          <w:rFonts w:eastAsia="DejaVu Sans" w:cs="font184"/>
          <w:sz w:val="28"/>
          <w:szCs w:val="28"/>
          <w:lang w:eastAsia="ar-SA"/>
        </w:rPr>
        <w:t xml:space="preserve"> на реализацию дополнительных мероприятий в сфере занятости населения</w:t>
      </w:r>
      <w:r>
        <w:rPr>
          <w:rFonts w:eastAsia="DejaVu Sans" w:cs="font184"/>
          <w:sz w:val="28"/>
          <w:szCs w:val="28"/>
          <w:lang w:eastAsia="ar-SA"/>
        </w:rPr>
        <w:t xml:space="preserve"> (</w:t>
      </w:r>
      <w:r>
        <w:rPr>
          <w:rFonts w:eastAsia="DejaVu Sans" w:cs="font184"/>
          <w:sz w:val="28"/>
          <w:szCs w:val="28"/>
          <w:lang w:eastAsia="ar-SA"/>
        </w:rPr>
        <w:t xml:space="preserve">Департамент социальной политики Чукотского автономного округа</w:t>
      </w:r>
      <w:r>
        <w:rPr>
          <w:rFonts w:eastAsia="DejaVu Sans" w:cs="font184"/>
          <w:sz w:val="28"/>
          <w:szCs w:val="28"/>
          <w:lang w:eastAsia="ar-SA"/>
        </w:rPr>
        <w:t xml:space="preserve">).</w:t>
      </w:r>
      <w:r>
        <w:rPr>
          <w:rFonts w:eastAsia="DejaVu Sans" w:cs="font184"/>
          <w:sz w:val="28"/>
          <w:szCs w:val="28"/>
          <w:lang w:eastAsia="ar-SA"/>
        </w:rPr>
      </w:r>
      <w:r>
        <w:rPr>
          <w:rFonts w:eastAsia="DejaVu Sans" w:cs="font184"/>
          <w:sz w:val="28"/>
          <w:szCs w:val="28"/>
          <w:lang w:eastAsia="ar-SA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Расходы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окружного бюджета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расходы окружного бюджета составили </w:t>
      </w:r>
      <w:r>
        <w:rPr>
          <w:sz w:val="28"/>
          <w:szCs w:val="28"/>
        </w:rPr>
        <w:t xml:space="preserve">17 146 079,7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 или </w:t>
      </w:r>
      <w:r>
        <w:rPr>
          <w:sz w:val="28"/>
          <w:szCs w:val="28"/>
        </w:rPr>
        <w:t xml:space="preserve">25,1 </w:t>
      </w:r>
      <w:r>
        <w:rPr>
          <w:sz w:val="28"/>
          <w:szCs w:val="28"/>
        </w:rPr>
        <w:t xml:space="preserve">% утвержденных </w:t>
      </w:r>
      <w:r>
        <w:rPr>
          <w:sz w:val="28"/>
          <w:szCs w:val="28"/>
        </w:rPr>
        <w:t xml:space="preserve">сводной бюджетной роспис</w:t>
      </w:r>
      <w:r>
        <w:rPr>
          <w:sz w:val="28"/>
          <w:szCs w:val="28"/>
        </w:rPr>
        <w:t xml:space="preserve">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бюджетных ассигнований.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Информация об исполнении окружного бюджета за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месяц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по расходам в разрезе разделов функциональной классификации расходов бюджетов представлена в таблице №</w:t>
      </w:r>
      <w:r>
        <w:rPr>
          <w:sz w:val="28"/>
          <w:szCs w:val="28"/>
        </w:rPr>
        <w:t xml:space="preserve"> 7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Таблица №</w:t>
      </w:r>
      <w:r>
        <w:rPr>
          <w:b w:val="0"/>
          <w:sz w:val="28"/>
          <w:szCs w:val="28"/>
        </w:rPr>
        <w:t xml:space="preserve"> 7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tabs>
          <w:tab w:val="left" w:pos="709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(тыс. рублей)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35"/>
        <w:gridCol w:w="1371"/>
        <w:gridCol w:w="1371"/>
        <w:gridCol w:w="1637"/>
        <w:gridCol w:w="1230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color w:val="000000"/>
                <w:sz w:val="20"/>
                <w:szCs w:val="20"/>
              </w:rPr>
              <w:br/>
              <w:t xml:space="preserve">показателя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Утверждено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Исполнено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Уровень исполнения,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Удельный вес,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55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Расходы бюджета - всего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68 429 374,5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17 146 079,7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25,1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х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01 Общегосударственные расходы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4 100 425,9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642 897,0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02 Национальная оборона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24 164,4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5 948,0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24,6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менее 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03 Национальная безопасность и правоохранительная деятельность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998 639,7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147 292,4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04 Национальная экономика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15 944 096,4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2 935 130,6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18,4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17,1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05 Жилищно-коммунальное хозяйство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15 934 254,4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7 594 273,9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44,3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06 Охрана окружающей среды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983 846,2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52 409,4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07 Образование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12 049 417,5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2 591 799,1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08 Культура, кинематография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1 218 908,0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198 083,5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16,3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09 Здравоохранение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4 270 108,8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819 390,5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10 Социальная политика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4 936 535,1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1 236 648,5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25,1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11 Физическая культура и спорт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1 923 652,4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105 050,2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12 Средства массовой информации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473 854,9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92 932,5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13 Обслуживание государственного долга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55 849,7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6 041,0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менее 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14 Межбюджетные трансферты общего характера муниципальным бюджетам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5 515 621,1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718 183,1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В структуре расходов окружного бюджета наибольший объем занимают расходы на жилищно-коммунальное хозяйство – </w:t>
      </w:r>
      <w:r>
        <w:rPr>
          <w:sz w:val="28"/>
          <w:szCs w:val="28"/>
        </w:rPr>
        <w:t xml:space="preserve">44,3 </w:t>
      </w:r>
      <w:r>
        <w:rPr>
          <w:sz w:val="28"/>
          <w:szCs w:val="28"/>
        </w:rPr>
        <w:t xml:space="preserve">%, национальную </w:t>
      </w:r>
      <w:r>
        <w:rPr>
          <w:sz w:val="28"/>
          <w:szCs w:val="28"/>
        </w:rPr>
        <w:t xml:space="preserve">экономику – </w:t>
      </w:r>
      <w:r>
        <w:rPr>
          <w:sz w:val="28"/>
          <w:szCs w:val="28"/>
        </w:rPr>
        <w:t xml:space="preserve">17,1 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Расходы на социальную сферу составили </w:t>
      </w:r>
      <w:r>
        <w:rPr>
          <w:sz w:val="28"/>
          <w:szCs w:val="28"/>
        </w:rPr>
        <w:t xml:space="preserve">28,9 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 (образование – </w:t>
      </w:r>
      <w:r>
        <w:rPr>
          <w:sz w:val="28"/>
          <w:szCs w:val="28"/>
        </w:rPr>
        <w:t xml:space="preserve">15,1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%; социальная политика – </w:t>
      </w:r>
      <w:r>
        <w:rPr>
          <w:sz w:val="28"/>
          <w:szCs w:val="28"/>
        </w:rPr>
        <w:t xml:space="preserve">7,2 </w:t>
      </w:r>
      <w:r>
        <w:rPr>
          <w:sz w:val="28"/>
          <w:szCs w:val="28"/>
        </w:rPr>
        <w:t xml:space="preserve">%; здравоохранение – </w:t>
      </w:r>
      <w:r>
        <w:rPr>
          <w:sz w:val="28"/>
          <w:szCs w:val="28"/>
        </w:rPr>
        <w:t xml:space="preserve">4,8 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, культура – 1,</w:t>
      </w:r>
      <w:r>
        <w:rPr>
          <w:sz w:val="28"/>
          <w:szCs w:val="28"/>
        </w:rPr>
        <w:t xml:space="preserve">2 %</w:t>
      </w:r>
      <w:r>
        <w:rPr>
          <w:sz w:val="28"/>
          <w:szCs w:val="28"/>
        </w:rPr>
        <w:t xml:space="preserve">, спорт – 0,</w:t>
      </w:r>
      <w:r>
        <w:rPr>
          <w:sz w:val="28"/>
          <w:szCs w:val="28"/>
        </w:rPr>
        <w:t xml:space="preserve">6 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). Удельный вес расходов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остальным разделам в общем объеме расходов окружного бюджета составил </w:t>
      </w:r>
      <w:r>
        <w:rPr>
          <w:sz w:val="28"/>
          <w:szCs w:val="28"/>
        </w:rPr>
        <w:t xml:space="preserve">менее 9,7 </w:t>
      </w:r>
      <w:r>
        <w:rPr>
          <w:sz w:val="28"/>
          <w:szCs w:val="28"/>
        </w:rPr>
        <w:t xml:space="preserve">%.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Наибольший уровень исполнения в отчетном периоде сложился по р</w:t>
      </w:r>
      <w:r>
        <w:rPr>
          <w:sz w:val="28"/>
          <w:szCs w:val="28"/>
        </w:rPr>
        <w:t xml:space="preserve">азделам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жилищно-коммунальное хозяйство – </w:t>
      </w:r>
      <w:r>
        <w:rPr>
          <w:sz w:val="28"/>
          <w:szCs w:val="28"/>
        </w:rPr>
        <w:t xml:space="preserve">47,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% или </w:t>
      </w:r>
      <w:r>
        <w:rPr>
          <w:sz w:val="28"/>
          <w:szCs w:val="28"/>
        </w:rPr>
        <w:t xml:space="preserve">7 594 273,9</w:t>
      </w:r>
      <w:r>
        <w:rPr>
          <w:sz w:val="28"/>
          <w:szCs w:val="28"/>
        </w:rPr>
        <w:t xml:space="preserve"> тыс. рублей;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социальная политика – 25,1 % или 1 236 648,5 тыс. рублей;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н</w:t>
      </w:r>
      <w:r>
        <w:rPr>
          <w:sz w:val="28"/>
          <w:szCs w:val="28"/>
        </w:rPr>
        <w:t xml:space="preserve">ациональная оборона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24,6</w:t>
      </w:r>
      <w:r>
        <w:rPr>
          <w:sz w:val="28"/>
          <w:szCs w:val="28"/>
        </w:rPr>
        <w:t xml:space="preserve"> % или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948,0</w:t>
      </w:r>
      <w:r>
        <w:rPr>
          <w:sz w:val="28"/>
          <w:szCs w:val="28"/>
        </w:rPr>
        <w:t xml:space="preserve"> тыс. рублей.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cs="TT Jenevers"/>
          <w:color w:val="000000"/>
          <w:sz w:val="28"/>
          <w:szCs w:val="28"/>
        </w:rPr>
        <w:t xml:space="preserve">Исполнение расходов окружного бюджета в проверяемом периоде осуществлял 21 главный распорядитель бюджетных средств.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Информация об исполнении окружного бюджета за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месяц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по расходам в разрезе главных распорядителей приведена в таблице №</w:t>
      </w:r>
      <w:r>
        <w:rPr>
          <w:sz w:val="28"/>
          <w:szCs w:val="28"/>
        </w:rPr>
        <w:t xml:space="preserve"> 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Таблица №</w:t>
      </w:r>
      <w:r>
        <w:rPr>
          <w:b w:val="0"/>
          <w:sz w:val="28"/>
          <w:szCs w:val="28"/>
        </w:rPr>
        <w:t xml:space="preserve"> 8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(тыс. рублей)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07"/>
        <w:gridCol w:w="1409"/>
        <w:gridCol w:w="1371"/>
        <w:gridCol w:w="1482"/>
        <w:gridCol w:w="1175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br/>
              <w:t xml:space="preserve">главного распорядителя</w:t>
            </w:r>
            <w:r>
              <w:rPr>
                <w:sz w:val="20"/>
                <w:szCs w:val="20"/>
              </w:rPr>
              <w:br/>
              <w:t xml:space="preserve">бюджетных средств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Утверждено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Исполнено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Уровень исполнения,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Удельный вес,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Расходы бюджета - всего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68 429 374,5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17 146 079,7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25,1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х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901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строительства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жилищно-коммунального хозяйства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19 914 109,7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7 795 387,6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39,1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902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промышленной политики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7 503 833,8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1 574 055,3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903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социальной политики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4 460 765,0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1 103 480,3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904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экономики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инвестиций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1 061 097,2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154 442,9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905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финансов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имущественных отношений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6 491 351,2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796 417,9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906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сельского хозяйства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3 643 645,8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584 765,6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907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цифрового развития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915 638,6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142 564,3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909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здравоохранения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4 357 694,8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997 426,6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22,9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910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Аппарат Губернатора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Правительства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2 334 224,1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462 478,6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911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Счетная палата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153 841,7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40 071,4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912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Комитет государственного регулирования цен и тарифов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65 855,9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11 936,0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913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Избирательная комиссия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191 876,2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37 765,3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914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физической культуры и спорта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1 147 740,4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121 050,2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915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Дума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298 346,2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63 167,4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природных ресурсов и экологии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1 817 758,6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137 003,5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917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культуры и туризма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1 297 064,1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303 879,9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918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образования и науки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11 159 527,1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2 559 230,7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22,9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919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Управление по обеспечению деятельности мировых судей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юридических консультаций, организации деятельности ЗАГС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архивов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224 543,7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48 437,2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920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Комитет по охране объектов культурного наследия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75 443,4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5 572,9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менее 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921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Управление молодежной политики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201 941,6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21 707,7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922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гражданской защиты и противопожарной службы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1 113 075,4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185 238,4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16,6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10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Расходы </w:t>
      </w:r>
      <w:r>
        <w:rPr>
          <w:color w:val="000000"/>
          <w:sz w:val="28"/>
          <w:szCs w:val="28"/>
        </w:rPr>
        <w:t xml:space="preserve">трех </w:t>
      </w:r>
      <w:r>
        <w:rPr>
          <w:color w:val="000000"/>
          <w:sz w:val="28"/>
          <w:szCs w:val="28"/>
        </w:rPr>
        <w:t xml:space="preserve">главны</w:t>
      </w:r>
      <w:r>
        <w:rPr>
          <w:color w:val="000000"/>
          <w:sz w:val="28"/>
          <w:szCs w:val="28"/>
        </w:rPr>
        <w:t xml:space="preserve">х</w:t>
      </w:r>
      <w:r>
        <w:rPr>
          <w:color w:val="000000"/>
          <w:sz w:val="28"/>
          <w:szCs w:val="28"/>
        </w:rPr>
        <w:t xml:space="preserve"> распорядител</w:t>
      </w:r>
      <w:r>
        <w:rPr>
          <w:color w:val="000000"/>
          <w:sz w:val="28"/>
          <w:szCs w:val="28"/>
        </w:rPr>
        <w:t xml:space="preserve">ей</w:t>
      </w:r>
      <w:r>
        <w:rPr>
          <w:color w:val="000000"/>
          <w:sz w:val="28"/>
          <w:szCs w:val="28"/>
        </w:rPr>
        <w:t xml:space="preserve"> исполнены в диапазоне от</w:t>
      </w:r>
      <w:r>
        <w:rPr>
          <w:color w:val="000000"/>
          <w:sz w:val="28"/>
          <w:szCs w:val="28"/>
        </w:rPr>
        <w:t xml:space="preserve"> 24,7 %</w:t>
      </w:r>
      <w:r>
        <w:rPr>
          <w:color w:val="000000"/>
          <w:sz w:val="28"/>
          <w:szCs w:val="28"/>
        </w:rPr>
        <w:t xml:space="preserve"> 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39,1 </w:t>
      </w:r>
      <w:r>
        <w:rPr>
          <w:color w:val="000000"/>
          <w:sz w:val="28"/>
          <w:szCs w:val="28"/>
        </w:rPr>
        <w:t xml:space="preserve">% показателя сводной росписи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</w:pPr>
      <w:r>
        <w:rPr>
          <w:rFonts w:cs="TT Jenevers"/>
          <w:color w:val="000000"/>
          <w:sz w:val="28"/>
          <w:szCs w:val="28"/>
        </w:rPr>
        <w:t xml:space="preserve">Низкий уровень исполнения расходов отмечается по </w:t>
      </w:r>
      <w:r>
        <w:rPr>
          <w:sz w:val="28"/>
          <w:szCs w:val="28"/>
        </w:rPr>
        <w:t xml:space="preserve">Департаменту природных ресурсов и экологии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7,5</w:t>
      </w:r>
      <w:r>
        <w:rPr>
          <w:sz w:val="28"/>
          <w:szCs w:val="28"/>
        </w:rPr>
        <w:t xml:space="preserve"> %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по охране объектов культурного наследия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7,4</w:t>
      </w:r>
      <w:r>
        <w:rPr>
          <w:sz w:val="28"/>
          <w:szCs w:val="28"/>
        </w:rPr>
        <w:t xml:space="preserve"> %.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/>
          <w:bCs/>
          <w:sz w:val="28"/>
          <w:szCs w:val="28"/>
          <w:highlight w:val="none"/>
        </w:rPr>
        <w:outlineLvl w:val="0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/>
          <w:bCs/>
          <w:sz w:val="28"/>
          <w:szCs w:val="28"/>
          <w:highlight w:val="none"/>
        </w:rPr>
        <w:outlineLvl w:val="0"/>
      </w:pPr>
      <w:r>
        <w:rPr>
          <w:b/>
          <w:bCs/>
          <w:sz w:val="28"/>
          <w:szCs w:val="28"/>
        </w:rPr>
        <w:t xml:space="preserve">Реализация государственных программ </w:t>
      </w:r>
      <w:r>
        <w:rPr>
          <w:b/>
          <w:bCs/>
          <w:sz w:val="28"/>
          <w:szCs w:val="28"/>
        </w:rPr>
        <w:br/>
        <w:t xml:space="preserve">и непрограммных направлений деятельности </w:t>
      </w:r>
      <w:r>
        <w:rPr>
          <w:b/>
          <w:bCs/>
          <w:sz w:val="28"/>
          <w:szCs w:val="28"/>
        </w:rPr>
        <w:br/>
        <w:t xml:space="preserve">Чукотского автономного округа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Объемы бюджетных ассигнований на программные и непрограммные расходы окружного бюджета </w:t>
      </w:r>
      <w:r>
        <w:rPr>
          <w:sz w:val="28"/>
          <w:szCs w:val="28"/>
        </w:rPr>
        <w:t xml:space="preserve">приведены в таблице №</w:t>
      </w:r>
      <w:r>
        <w:rPr>
          <w:sz w:val="28"/>
          <w:szCs w:val="28"/>
        </w:rPr>
        <w:t xml:space="preserve"> 9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bCs w:val="0"/>
          <w:iCs/>
          <w:sz w:val="28"/>
          <w:szCs w:val="28"/>
        </w:rPr>
        <w:outlineLvl w:val="0"/>
      </w:pPr>
      <w:r>
        <w:rPr>
          <w:b w:val="0"/>
          <w:bCs w:val="0"/>
          <w:iCs/>
          <w:sz w:val="28"/>
          <w:szCs w:val="28"/>
        </w:rPr>
        <w:t xml:space="preserve">Таблица №</w:t>
      </w:r>
      <w:r>
        <w:rPr>
          <w:b w:val="0"/>
          <w:bCs w:val="0"/>
          <w:iCs/>
          <w:sz w:val="28"/>
          <w:szCs w:val="28"/>
        </w:rPr>
        <w:t xml:space="preserve"> 9</w:t>
      </w:r>
      <w:r>
        <w:rPr>
          <w:b w:val="0"/>
          <w:bCs w:val="0"/>
          <w:iCs/>
          <w:sz w:val="28"/>
          <w:szCs w:val="28"/>
        </w:rPr>
      </w:r>
      <w:r>
        <w:rPr>
          <w:b w:val="0"/>
          <w:bCs w:val="0"/>
          <w:iCs/>
          <w:sz w:val="28"/>
          <w:szCs w:val="28"/>
        </w:rPr>
      </w:r>
    </w:p>
    <w:p>
      <w:pPr>
        <w:jc w:val="right"/>
        <w:spacing w:before="0" w:beforeAutospacing="0" w:after="0" w:afterAutospacing="0" w:line="240" w:lineRule="auto"/>
        <w:rPr>
          <w:rFonts w:eastAsia="Calibri"/>
          <w:sz w:val="28"/>
          <w:szCs w:val="28"/>
          <w:highlight w:val="yellow"/>
          <w:lang w:eastAsia="en-US"/>
        </w:rPr>
      </w:pPr>
      <w:r>
        <w:rPr>
          <w:bCs/>
          <w:iCs/>
          <w:sz w:val="28"/>
          <w:szCs w:val="28"/>
        </w:rPr>
        <w:t xml:space="preserve">(тыс. рублей)</w:t>
      </w:r>
      <w:r>
        <w:rPr>
          <w:rFonts w:eastAsia="Calibri"/>
          <w:sz w:val="28"/>
          <w:szCs w:val="28"/>
          <w:highlight w:val="yellow"/>
          <w:lang w:eastAsia="en-US"/>
        </w:rPr>
      </w:r>
      <w:r>
        <w:rPr>
          <w:rFonts w:eastAsia="Calibri"/>
          <w:sz w:val="28"/>
          <w:szCs w:val="28"/>
          <w:highlight w:val="yellow"/>
          <w:lang w:eastAsia="en-US"/>
        </w:rPr>
      </w:r>
    </w:p>
    <w:tbl>
      <w:tblPr>
        <w:tblW w:w="5126" w:type="pct"/>
        <w:tblLook w:val="04A0" w:firstRow="1" w:lastRow="0" w:firstColumn="1" w:lastColumn="0" w:noHBand="0" w:noVBand="1"/>
      </w:tblPr>
      <w:tblGrid>
        <w:gridCol w:w="3397"/>
        <w:gridCol w:w="1582"/>
        <w:gridCol w:w="1581"/>
        <w:gridCol w:w="1684"/>
        <w:gridCol w:w="1335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color w:val="000000"/>
                <w:sz w:val="20"/>
                <w:szCs w:val="20"/>
              </w:rPr>
              <w:br/>
              <w:t xml:space="preserve">показателя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Утверждено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Исполнено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Уровень исполнения, %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7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Удельный вес, %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7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Расходы бюджета - всего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68 429 374,5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17 146 079,7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25,1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7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100,0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Программные мероприятия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63 676 025,7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16 237 631,2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25,5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7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3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мероприятия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6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4 753 348,8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908 448,5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9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19,1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7" w:type="pct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Законом об окружном бюджете предусмотрено финансирование </w:t>
      </w:r>
      <w:r>
        <w:rPr>
          <w:rFonts w:eastAsia="Calibri"/>
          <w:b/>
          <w:sz w:val="28"/>
          <w:szCs w:val="28"/>
          <w:lang w:eastAsia="en-US"/>
        </w:rPr>
        <w:t xml:space="preserve">2</w:t>
      </w:r>
      <w:r>
        <w:rPr>
          <w:rFonts w:eastAsia="Calibri"/>
          <w:b/>
          <w:sz w:val="28"/>
          <w:szCs w:val="28"/>
          <w:lang w:eastAsia="en-US"/>
        </w:rPr>
        <w:t xml:space="preserve">1</w:t>
      </w:r>
      <w:r>
        <w:rPr>
          <w:rFonts w:eastAsia="Calibri"/>
          <w:b/>
          <w:sz w:val="28"/>
          <w:szCs w:val="28"/>
          <w:lang w:eastAsia="en-US"/>
        </w:rPr>
        <w:t xml:space="preserve"> </w:t>
      </w:r>
      <w:r>
        <w:rPr>
          <w:rFonts w:eastAsia="Calibri"/>
          <w:b/>
          <w:sz w:val="28"/>
          <w:szCs w:val="28"/>
          <w:lang w:eastAsia="en-US"/>
        </w:rPr>
        <w:t xml:space="preserve">Государственн</w:t>
      </w:r>
      <w:r>
        <w:rPr>
          <w:rFonts w:eastAsia="Calibri"/>
          <w:b/>
          <w:sz w:val="28"/>
          <w:szCs w:val="28"/>
          <w:lang w:eastAsia="en-US"/>
        </w:rPr>
        <w:t xml:space="preserve">ой</w:t>
      </w:r>
      <w:r>
        <w:rPr>
          <w:rFonts w:eastAsia="Calibri"/>
          <w:b/>
          <w:sz w:val="28"/>
          <w:szCs w:val="28"/>
          <w:lang w:eastAsia="en-US"/>
        </w:rPr>
        <w:t xml:space="preserve"> программ</w:t>
      </w:r>
      <w:r>
        <w:rPr>
          <w:rFonts w:eastAsia="Calibri"/>
          <w:b/>
          <w:sz w:val="28"/>
          <w:szCs w:val="28"/>
          <w:lang w:eastAsia="en-US"/>
        </w:rPr>
        <w:t xml:space="preserve">ы</w:t>
      </w:r>
      <w:r>
        <w:rPr>
          <w:rFonts w:eastAsia="Calibri"/>
          <w:sz w:val="28"/>
          <w:szCs w:val="28"/>
          <w:lang w:eastAsia="en-US"/>
        </w:rPr>
        <w:t xml:space="preserve"> Чукотского автономного округа (далее – Государственные программы). Сводной бюджетной росписью утверждены бюджетные ассигнования на реализацию программных мероприятий в сумме </w:t>
      </w:r>
      <w:r>
        <w:rPr>
          <w:rFonts w:eastAsia="Calibri"/>
          <w:sz w:val="28"/>
          <w:szCs w:val="28"/>
          <w:lang w:eastAsia="en-US"/>
        </w:rPr>
        <w:t xml:space="preserve">63 676 025,7 </w:t>
      </w:r>
      <w:r>
        <w:rPr>
          <w:rFonts w:eastAsia="Calibri"/>
          <w:sz w:val="28"/>
          <w:szCs w:val="28"/>
          <w:lang w:eastAsia="en-US"/>
        </w:rPr>
        <w:t xml:space="preserve">тыс. рублей или </w:t>
      </w:r>
      <w:r>
        <w:rPr>
          <w:rFonts w:eastAsia="Calibri"/>
          <w:sz w:val="28"/>
          <w:szCs w:val="28"/>
          <w:lang w:eastAsia="en-US"/>
        </w:rPr>
        <w:t xml:space="preserve">94,</w:t>
      </w:r>
      <w:r>
        <w:rPr>
          <w:rFonts w:eastAsia="Calibri"/>
          <w:sz w:val="28"/>
          <w:szCs w:val="28"/>
          <w:lang w:eastAsia="en-US"/>
        </w:rPr>
        <w:t xml:space="preserve">7 </w:t>
      </w:r>
      <w:r>
        <w:rPr>
          <w:rFonts w:eastAsia="Calibri"/>
          <w:sz w:val="28"/>
          <w:szCs w:val="28"/>
          <w:lang w:eastAsia="en-US"/>
        </w:rPr>
        <w:t xml:space="preserve">% расходов бюджета.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осударственных</w:t>
      </w:r>
      <w:r>
        <w:rPr>
          <w:sz w:val="28"/>
          <w:szCs w:val="28"/>
        </w:rPr>
        <w:t xml:space="preserve"> программ </w:t>
      </w:r>
      <w:r>
        <w:rPr>
          <w:rFonts w:eastAsia="Calibri"/>
          <w:sz w:val="28"/>
          <w:szCs w:val="28"/>
          <w:lang w:eastAsia="en-US"/>
        </w:rPr>
        <w:t xml:space="preserve">за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отчетный период составило </w:t>
      </w:r>
      <w:r>
        <w:rPr>
          <w:rFonts w:eastAsia="Calibri"/>
          <w:sz w:val="28"/>
          <w:szCs w:val="28"/>
          <w:lang w:eastAsia="en-US"/>
        </w:rPr>
        <w:t xml:space="preserve">16 237 631,2 </w:t>
      </w:r>
      <w:r>
        <w:rPr>
          <w:rFonts w:eastAsia="Calibri"/>
          <w:sz w:val="28"/>
          <w:szCs w:val="28"/>
          <w:lang w:eastAsia="en-US"/>
        </w:rPr>
        <w:t xml:space="preserve">тыс. рублей или </w:t>
      </w:r>
      <w:r>
        <w:rPr>
          <w:rFonts w:eastAsia="Calibri"/>
          <w:sz w:val="28"/>
          <w:szCs w:val="28"/>
          <w:lang w:eastAsia="en-US"/>
        </w:rPr>
        <w:t xml:space="preserve">25,5 </w:t>
      </w:r>
      <w:r>
        <w:rPr>
          <w:rFonts w:eastAsia="Calibri"/>
          <w:sz w:val="28"/>
          <w:szCs w:val="28"/>
          <w:lang w:eastAsia="en-US"/>
        </w:rPr>
        <w:t xml:space="preserve">% </w:t>
      </w:r>
      <w:r>
        <w:rPr>
          <w:rFonts w:eastAsia="Calibri"/>
          <w:sz w:val="28"/>
          <w:szCs w:val="28"/>
          <w:lang w:eastAsia="en-US"/>
        </w:rPr>
        <w:t xml:space="preserve">плановых</w:t>
      </w:r>
      <w:r>
        <w:rPr>
          <w:rFonts w:eastAsia="Calibri"/>
          <w:sz w:val="28"/>
          <w:szCs w:val="28"/>
          <w:lang w:eastAsia="en-US"/>
        </w:rPr>
        <w:t xml:space="preserve"> назначений.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Информация о результатах </w:t>
      </w:r>
      <w:r>
        <w:rPr>
          <w:sz w:val="28"/>
          <w:szCs w:val="28"/>
        </w:rPr>
        <w:t xml:space="preserve">финансирования</w:t>
      </w:r>
      <w:r>
        <w:rPr>
          <w:sz w:val="28"/>
          <w:szCs w:val="28"/>
        </w:rPr>
        <w:t xml:space="preserve"> Государственных программ за 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 месяц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приведена в таблице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rFonts w:eastAsia="Calibri"/>
          <w:b w:val="0"/>
          <w:sz w:val="28"/>
          <w:szCs w:val="28"/>
          <w:lang w:eastAsia="en-US"/>
        </w:rPr>
        <w:outlineLvl w:val="0"/>
      </w:pPr>
      <w:r>
        <w:rPr>
          <w:rFonts w:eastAsia="Calibri"/>
          <w:b w:val="0"/>
          <w:sz w:val="28"/>
          <w:szCs w:val="28"/>
          <w:lang w:eastAsia="en-US"/>
        </w:rPr>
        <w:t xml:space="preserve">Таблица №</w:t>
      </w:r>
      <w:r>
        <w:rPr>
          <w:rFonts w:eastAsia="Calibri"/>
          <w:b w:val="0"/>
          <w:sz w:val="28"/>
          <w:szCs w:val="28"/>
          <w:lang w:eastAsia="en-US"/>
        </w:rPr>
        <w:t xml:space="preserve"> 10</w:t>
      </w:r>
      <w:r>
        <w:rPr>
          <w:rFonts w:eastAsia="Calibri"/>
          <w:b w:val="0"/>
          <w:sz w:val="28"/>
          <w:szCs w:val="28"/>
          <w:lang w:eastAsia="en-US"/>
        </w:rPr>
      </w:r>
      <w:r>
        <w:rPr>
          <w:rFonts w:eastAsia="Calibri"/>
          <w:b w:val="0"/>
          <w:sz w:val="28"/>
          <w:szCs w:val="28"/>
          <w:lang w:eastAsia="en-US"/>
        </w:rPr>
      </w:r>
    </w:p>
    <w:p>
      <w:pPr>
        <w:jc w:val="right"/>
        <w:spacing w:before="0" w:beforeAutospacing="0" w:after="0" w:afterAutospacing="0" w:line="240" w:lineRule="auto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(тыс. рублей)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103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57"/>
        <w:gridCol w:w="1417"/>
        <w:gridCol w:w="1701"/>
        <w:gridCol w:w="1701"/>
        <w:gridCol w:w="1276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color w:val="000000"/>
                <w:sz w:val="20"/>
                <w:szCs w:val="20"/>
              </w:rPr>
              <w:br/>
              <w:t xml:space="preserve">Государственной программы </w:t>
            </w:r>
            <w:r>
              <w:rPr>
                <w:color w:val="000000"/>
                <w:sz w:val="20"/>
                <w:szCs w:val="20"/>
              </w:rPr>
              <w:br/>
              <w:t xml:space="preserve">Чукотского автономного округа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Утверждено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Финансирование мероприятий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Уровень исполнения, %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Удельный вес, %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 по программным мероприятиям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63 676 025,7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16 237 631,2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25,5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94,7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здравоохранения (01)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4 973 823,6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997 634,5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занятости населения (02)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409 347,8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55 381,3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Социальная поддержка населения (03)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4 074 499,6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1 011 671,6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24,8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Стимулирование экономической активности населения (04)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858 931,4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122 093,4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культуры и туризма (05)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1 333 945,4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205 852,8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агропромышленного комплекса (06)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3 643 645,8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584 765,6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Информационное общество (07)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1 417 645,1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242 492,1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17,1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жилищно-коммунального хозяйства и водохозяйственного комплекса (08)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9 019 924,4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6 847 809,4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75,9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42,2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образования и науки (09)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11 883 816,8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2 494 500,2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лесного хозяйства (10)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404 860,1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38 331,2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транспортной инфраструктуры (11)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6 300 954,0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723 237,3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11,5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региональными финансами и имуществом (12)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6 137 375,5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801 897,2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жилищного строительства (14)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1 985 861,3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21 404,0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физической культуры и спорта Чукотского автономного округа (15)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1 889 229,5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121 050,3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Предупреждение чрезвычайных ситуаций природного и техногенного характера и обеспечение пожарной безопасности (16)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1 063 835,5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178 325,4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16,8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Охрана окружающей среды и обеспечение рационального природопользования (18)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612 303,4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79 423,6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13,0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энергетики (19)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4 750 068,9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837 948,4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охраны общественного порядка и повышения безопасности дорожного движения (20)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49 835,2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125,2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0,00077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комфортной городской среды (21)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797 131,6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7 855,6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системы обращения с отходами (23)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754 245,1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8 448,7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7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промышленности и торговли (24)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1 314 745,7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857 383,4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65,2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Финансирование программных расходов в отчетном периоде осуществлялось в диапазоне от </w:t>
      </w:r>
      <w:r>
        <w:rPr>
          <w:sz w:val="28"/>
          <w:szCs w:val="28"/>
        </w:rPr>
        <w:t xml:space="preserve">75,9 </w:t>
      </w:r>
      <w:r>
        <w:rPr>
          <w:sz w:val="28"/>
          <w:szCs w:val="28"/>
        </w:rPr>
        <w:t xml:space="preserve">% до </w:t>
      </w:r>
      <w:r>
        <w:rPr>
          <w:sz w:val="28"/>
          <w:szCs w:val="28"/>
        </w:rPr>
        <w:t xml:space="preserve">0,3 </w:t>
      </w:r>
      <w:r>
        <w:rPr>
          <w:sz w:val="28"/>
          <w:szCs w:val="28"/>
        </w:rPr>
        <w:t xml:space="preserve">%. </w:t>
      </w:r>
      <w:r>
        <w:rPr>
          <w:sz w:val="28"/>
          <w:szCs w:val="28"/>
        </w:rPr>
        <w:t xml:space="preserve">Н</w:t>
      </w:r>
      <w:r>
        <w:rPr>
          <w:rFonts w:eastAsia="Calibri"/>
          <w:sz w:val="28"/>
          <w:szCs w:val="28"/>
        </w:rPr>
        <w:t xml:space="preserve">аибольший объем финансирования</w:t>
      </w:r>
      <w:r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 xml:space="preserve">63,8 </w:t>
      </w:r>
      <w:r>
        <w:rPr>
          <w:rFonts w:eastAsia="Calibri"/>
          <w:sz w:val="28"/>
          <w:szCs w:val="28"/>
        </w:rPr>
        <w:t xml:space="preserve">%) </w:t>
      </w:r>
      <w:r>
        <w:rPr>
          <w:rFonts w:eastAsia="Calibri"/>
          <w:sz w:val="28"/>
          <w:szCs w:val="28"/>
        </w:rPr>
        <w:t xml:space="preserve">приходится н</w:t>
      </w:r>
      <w:r>
        <w:rPr>
          <w:rFonts w:eastAsia="Calibri"/>
          <w:sz w:val="28"/>
          <w:szCs w:val="28"/>
        </w:rPr>
        <w:t xml:space="preserve">а </w:t>
      </w:r>
      <w:r>
        <w:rPr>
          <w:rFonts w:eastAsia="Calibri"/>
          <w:sz w:val="28"/>
          <w:szCs w:val="28"/>
        </w:rPr>
        <w:t xml:space="preserve">три </w:t>
      </w:r>
      <w:r>
        <w:rPr>
          <w:rFonts w:eastAsia="Calibri"/>
          <w:sz w:val="28"/>
          <w:szCs w:val="28"/>
        </w:rPr>
        <w:t xml:space="preserve">государственны</w:t>
      </w:r>
      <w:r>
        <w:rPr>
          <w:rFonts w:eastAsia="Calibri"/>
          <w:sz w:val="28"/>
          <w:szCs w:val="28"/>
        </w:rPr>
        <w:t xml:space="preserve">е</w:t>
      </w:r>
      <w:r>
        <w:rPr>
          <w:rFonts w:eastAsia="Calibri"/>
          <w:sz w:val="28"/>
          <w:szCs w:val="28"/>
        </w:rPr>
        <w:t xml:space="preserve"> программ</w:t>
      </w:r>
      <w:r>
        <w:rPr>
          <w:rFonts w:eastAsia="Calibri"/>
          <w:sz w:val="28"/>
          <w:szCs w:val="28"/>
        </w:rPr>
        <w:t xml:space="preserve">ы</w:t>
      </w:r>
      <w:r>
        <w:rPr>
          <w:rFonts w:eastAsia="Calibri"/>
          <w:sz w:val="28"/>
          <w:szCs w:val="28"/>
        </w:rPr>
        <w:t xml:space="preserve">, что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sz w:val="28"/>
          <w:szCs w:val="28"/>
        </w:rPr>
        <w:t xml:space="preserve">составляет </w:t>
      </w:r>
      <w:r>
        <w:rPr>
          <w:rFonts w:eastAsia="Calibri"/>
          <w:sz w:val="28"/>
          <w:szCs w:val="28"/>
        </w:rPr>
        <w:t xml:space="preserve">10 353 981,2 </w:t>
      </w:r>
      <w:r>
        <w:rPr>
          <w:rFonts w:eastAsia="Calibri"/>
          <w:sz w:val="28"/>
          <w:szCs w:val="28"/>
        </w:rPr>
        <w:t xml:space="preserve">тыс. рублей.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Расходы на реализацию мероприятий </w:t>
      </w:r>
      <w:r>
        <w:rPr>
          <w:b/>
          <w:sz w:val="28"/>
          <w:szCs w:val="28"/>
        </w:rPr>
        <w:t xml:space="preserve">Государственной программы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«Развитие жилищно-коммунального хозяйства и водохозяйственного комплекса Чукотского автономного округа»</w:t>
      </w:r>
      <w:r>
        <w:rPr>
          <w:b/>
          <w:sz w:val="28"/>
          <w:szCs w:val="28"/>
        </w:rPr>
        <w:t xml:space="preserve"> (08)</w:t>
      </w:r>
      <w:r>
        <w:rPr>
          <w:rStyle w:val="4381"/>
          <w:sz w:val="28"/>
          <w:szCs w:val="28"/>
        </w:rPr>
        <w:footnoteReference w:id="177"/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отчетном периоде составили 7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,9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% </w:t>
      </w:r>
      <w:r>
        <w:rPr>
          <w:rFonts w:eastAsiaTheme="minorHAnsi"/>
          <w:sz w:val="28"/>
          <w:szCs w:val="28"/>
          <w:lang w:eastAsia="en-US"/>
        </w:rPr>
        <w:t xml:space="preserve">годовых назначений или </w:t>
      </w:r>
      <w:r>
        <w:rPr>
          <w:sz w:val="28"/>
          <w:szCs w:val="28"/>
        </w:rPr>
        <w:t xml:space="preserve">6 847 809,4 </w:t>
      </w:r>
      <w:r>
        <w:rPr>
          <w:sz w:val="28"/>
          <w:szCs w:val="28"/>
        </w:rPr>
        <w:t xml:space="preserve">тыс. рублей, из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них: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z w:val="28"/>
          <w:szCs w:val="28"/>
        </w:rPr>
        <w:t xml:space="preserve">4 949 092,8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тыс. рублей</w:t>
      </w:r>
      <w:r>
        <w:rPr>
          <w:rStyle w:val="4381"/>
          <w:sz w:val="28"/>
          <w:szCs w:val="28"/>
        </w:rPr>
        <w:footnoteReference w:id="178"/>
      </w:r>
      <w:r>
        <w:rPr>
          <w:sz w:val="28"/>
          <w:szCs w:val="28"/>
        </w:rPr>
        <w:t xml:space="preserve"> – субсидии на возмещение ресурсоснабжающим организациям недополученных доходов, связанных с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предоставлением населению коммунальных услуг (ресурсов) по тарифам,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обеспечивающим возмещение издержек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из них: 1 703 595,6 тыс. рублей – </w:t>
      </w:r>
      <w:r>
        <w:rPr>
          <w:sz w:val="28"/>
          <w:szCs w:val="28"/>
        </w:rPr>
        <w:t xml:space="preserve">Государственно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Чукотского автономного округа «</w:t>
      </w:r>
      <w:r>
        <w:rPr>
          <w:sz w:val="28"/>
          <w:szCs w:val="28"/>
        </w:rPr>
        <w:t xml:space="preserve">Чукоткоммунхоз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640 556,7 тыс. рублей – </w:t>
      </w:r>
      <w:r>
        <w:rPr>
          <w:sz w:val="28"/>
          <w:szCs w:val="28"/>
        </w:rPr>
        <w:t xml:space="preserve">Муниципальное предприятие </w:t>
      </w:r>
      <w:r>
        <w:rPr>
          <w:sz w:val="28"/>
          <w:szCs w:val="28"/>
        </w:rPr>
        <w:t xml:space="preserve">ж</w:t>
      </w:r>
      <w:r>
        <w:rPr>
          <w:sz w:val="28"/>
          <w:szCs w:val="28"/>
        </w:rPr>
        <w:t xml:space="preserve">илищно-коммунального хозяйства </w:t>
      </w:r>
      <w:r>
        <w:rPr>
          <w:sz w:val="28"/>
          <w:szCs w:val="28"/>
        </w:rPr>
        <w:t xml:space="preserve">Билибинского</w:t>
      </w:r>
      <w:r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, 656 256,8 тыс. рублей – </w:t>
      </w:r>
      <w:r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унитарное </w:t>
      </w:r>
      <w:r>
        <w:rPr>
          <w:sz w:val="28"/>
          <w:szCs w:val="28"/>
        </w:rPr>
        <w:t xml:space="preserve">предприятие </w:t>
      </w:r>
      <w:r>
        <w:rPr>
          <w:sz w:val="28"/>
          <w:szCs w:val="28"/>
        </w:rPr>
        <w:t xml:space="preserve">ж</w:t>
      </w:r>
      <w:r>
        <w:rPr>
          <w:sz w:val="28"/>
          <w:szCs w:val="28"/>
        </w:rPr>
        <w:t xml:space="preserve">илищно-коммунального хозяйства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Иультинское</w:t>
      </w:r>
      <w:r>
        <w:rPr>
          <w:sz w:val="28"/>
          <w:szCs w:val="28"/>
        </w:rPr>
        <w:t xml:space="preserve">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z w:val="28"/>
          <w:szCs w:val="28"/>
        </w:rPr>
        <w:t xml:space="preserve">1 735 000,0</w:t>
      </w:r>
      <w:r>
        <w:rPr>
          <w:sz w:val="28"/>
          <w:szCs w:val="28"/>
        </w:rPr>
        <w:t xml:space="preserve"> тыс. рублей</w:t>
      </w:r>
      <w:r>
        <w:rPr>
          <w:rStyle w:val="4381"/>
          <w:sz w:val="28"/>
          <w:szCs w:val="28"/>
        </w:rPr>
        <w:footnoteReference w:id="179"/>
      </w:r>
      <w:r>
        <w:rPr>
          <w:sz w:val="28"/>
          <w:szCs w:val="28"/>
        </w:rPr>
        <w:t xml:space="preserve"> – субсидии на бесперебойное оказание услуг потребителям электро-, тепло-, водоснабжения и водоотведения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из них: 500 000,0 тыс. рублей – </w:t>
      </w:r>
      <w:r>
        <w:rPr>
          <w:sz w:val="28"/>
          <w:szCs w:val="28"/>
        </w:rPr>
        <w:t xml:space="preserve">Государственно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Чукотского автономного округа «</w:t>
      </w:r>
      <w:r>
        <w:rPr>
          <w:sz w:val="28"/>
          <w:szCs w:val="28"/>
        </w:rPr>
        <w:t xml:space="preserve">Чукоткоммунхоз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490 541,0 тыс. рублей – Муниципальное унитарное предприятие «Айсберг»).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Мероприятия </w:t>
      </w:r>
      <w:r>
        <w:rPr>
          <w:b/>
          <w:sz w:val="28"/>
          <w:szCs w:val="28"/>
        </w:rPr>
        <w:t xml:space="preserve">Государственной программы «Развитие образования и</w:t>
      </w:r>
      <w:r>
        <w:rPr>
          <w:b/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науки Чукотского автономного округа»</w:t>
      </w:r>
      <w:r>
        <w:rPr>
          <w:b/>
          <w:sz w:val="28"/>
          <w:szCs w:val="28"/>
        </w:rPr>
        <w:t xml:space="preserve"> (09)</w:t>
      </w:r>
      <w:r>
        <w:rPr>
          <w:rStyle w:val="4381"/>
          <w:sz w:val="28"/>
          <w:szCs w:val="28"/>
        </w:rPr>
        <w:footnoteReference w:id="180"/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отчетном периоде </w:t>
      </w:r>
      <w:r>
        <w:rPr>
          <w:sz w:val="28"/>
          <w:szCs w:val="28"/>
        </w:rPr>
        <w:t xml:space="preserve">профинансированы на </w:t>
      </w:r>
      <w:r>
        <w:rPr>
          <w:sz w:val="28"/>
          <w:szCs w:val="28"/>
        </w:rPr>
        <w:t xml:space="preserve">21 </w:t>
      </w:r>
      <w:r>
        <w:rPr>
          <w:sz w:val="28"/>
          <w:szCs w:val="28"/>
        </w:rPr>
        <w:t xml:space="preserve">% или </w:t>
      </w:r>
      <w:r>
        <w:rPr>
          <w:sz w:val="28"/>
          <w:szCs w:val="28"/>
        </w:rPr>
        <w:t xml:space="preserve">2 494 500,2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рублей, из них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z w:val="28"/>
          <w:szCs w:val="28"/>
        </w:rPr>
        <w:t xml:space="preserve">1 865 628,4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тыс. рублей – субвенции муниципальным образованиям на реализацию прав на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получение общедоступного и бесплатного образования в муниципальных образовательных организациях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- 223 716,8 </w:t>
      </w:r>
      <w:r>
        <w:rPr>
          <w:sz w:val="28"/>
          <w:szCs w:val="28"/>
        </w:rPr>
        <w:t xml:space="preserve">тыс. рублей – </w:t>
      </w:r>
      <w:r>
        <w:rPr>
          <w:sz w:val="28"/>
          <w:szCs w:val="28"/>
        </w:rPr>
        <w:t xml:space="preserve">с</w:t>
      </w:r>
      <w:r>
        <w:rPr>
          <w:rFonts w:eastAsiaTheme="minorHAnsi"/>
          <w:sz w:val="28"/>
          <w:szCs w:val="28"/>
          <w:lang w:eastAsia="en-US"/>
        </w:rPr>
        <w:t xml:space="preserve">убсидии автономным учреждениям на</w:t>
      </w:r>
      <w:r>
        <w:rPr>
          <w:rFonts w:eastAsiaTheme="minorHAnsi"/>
          <w:sz w:val="28"/>
          <w:szCs w:val="28"/>
          <w:lang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обеспечение деятельности средних профессиональных учебных заведений</w:t>
      </w:r>
      <w:r>
        <w:rPr>
          <w:rFonts w:eastAsiaTheme="minorHAnsi"/>
          <w:sz w:val="28"/>
          <w:szCs w:val="28"/>
          <w:lang w:eastAsia="en-US"/>
        </w:rPr>
        <w:t xml:space="preserve">;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- 104 031,4</w:t>
      </w:r>
      <w:r>
        <w:rPr>
          <w:rFonts w:eastAsiaTheme="minorHAnsi"/>
          <w:iCs/>
          <w:sz w:val="28"/>
          <w:szCs w:val="28"/>
          <w:lang w:eastAsia="en-US"/>
        </w:rPr>
        <w:t xml:space="preserve"> </w:t>
      </w:r>
      <w:r>
        <w:rPr>
          <w:rFonts w:eastAsiaTheme="minorHAnsi"/>
          <w:iCs/>
          <w:sz w:val="28"/>
          <w:szCs w:val="28"/>
          <w:lang w:eastAsia="en-US"/>
        </w:rPr>
        <w:t xml:space="preserve">тыс. рублей</w:t>
      </w:r>
      <w:r>
        <w:rPr>
          <w:rFonts w:eastAsiaTheme="minorHAnsi"/>
          <w:iCs/>
          <w:sz w:val="28"/>
          <w:szCs w:val="28"/>
          <w:lang w:eastAsia="en-US"/>
        </w:rPr>
        <w:t xml:space="preserve"> – субсидии автономным учреждениям на реализацию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</w:r>
      <w:r>
        <w:rPr>
          <w:rFonts w:eastAsiaTheme="minorHAnsi"/>
          <w:iCs/>
          <w:sz w:val="28"/>
          <w:szCs w:val="28"/>
          <w:lang w:eastAsia="en-US"/>
        </w:rPr>
        <w:t xml:space="preserve">.</w:t>
      </w:r>
      <w:r>
        <w:rPr>
          <w:rFonts w:eastAsiaTheme="minorHAnsi"/>
          <w:iCs/>
          <w:sz w:val="28"/>
          <w:szCs w:val="28"/>
          <w:lang w:eastAsia="en-US"/>
        </w:rPr>
      </w:r>
      <w:r>
        <w:rPr>
          <w:rFonts w:eastAsiaTheme="minorHAnsi"/>
          <w:iCs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Расходы на реализацию мероприятий </w:t>
      </w:r>
      <w:r>
        <w:rPr>
          <w:b/>
          <w:sz w:val="28"/>
          <w:szCs w:val="28"/>
        </w:rPr>
        <w:t xml:space="preserve">Государственной программы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«Социальная поддержка населения Чукотского автономного округа»</w:t>
      </w:r>
      <w:r>
        <w:rPr>
          <w:b/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(03)</w:t>
      </w:r>
      <w:r>
        <w:rPr>
          <w:rStyle w:val="4381"/>
          <w:sz w:val="28"/>
          <w:szCs w:val="28"/>
        </w:rPr>
        <w:footnoteReference w:id="181"/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 отчетном периоде составили </w:t>
      </w:r>
      <w:r>
        <w:rPr>
          <w:sz w:val="28"/>
          <w:szCs w:val="28"/>
        </w:rPr>
        <w:t xml:space="preserve">24,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% </w:t>
      </w:r>
      <w:r>
        <w:rPr>
          <w:rFonts w:eastAsiaTheme="minorHAnsi"/>
          <w:sz w:val="28"/>
          <w:szCs w:val="28"/>
          <w:lang w:eastAsia="en-US"/>
        </w:rPr>
        <w:t xml:space="preserve">годовых назначений или</w:t>
      </w:r>
      <w:r>
        <w:rPr>
          <w:rFonts w:eastAsiaTheme="minorHAnsi"/>
          <w:sz w:val="28"/>
          <w:szCs w:val="28"/>
          <w:lang w:eastAsia="en-US"/>
        </w:rPr>
        <w:t xml:space="preserve"> 1 011 671,6</w:t>
      </w:r>
      <w:r>
        <w:rPr>
          <w:rFonts w:eastAsiaTheme="minorHAnsi"/>
          <w:sz w:val="28"/>
          <w:szCs w:val="28"/>
          <w:lang w:eastAsia="en-US"/>
        </w:rPr>
        <w:t xml:space="preserve"> </w:t>
      </w:r>
      <w:r>
        <w:rPr>
          <w:sz w:val="28"/>
          <w:szCs w:val="28"/>
        </w:rPr>
        <w:t xml:space="preserve">тыс. рублей, из них: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- 304 374,0 тыс. руб</w:t>
      </w:r>
      <w:r>
        <w:rPr>
          <w:sz w:val="28"/>
          <w:szCs w:val="28"/>
        </w:rPr>
        <w:t xml:space="preserve">лей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поддержк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граждан, пребывающи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в запасе, поступивши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военную службу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z w:val="28"/>
          <w:szCs w:val="28"/>
        </w:rPr>
        <w:t xml:space="preserve">81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008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 тыс. рублей – 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диновременная материальная помощь лицам, </w:t>
      </w:r>
      <w:r>
        <w:rPr>
          <w:sz w:val="28"/>
          <w:szCs w:val="28"/>
        </w:rPr>
        <w:t xml:space="preserve">поступивши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военную службу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членам </w:t>
      </w:r>
      <w:r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семей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ind w:firstLine="709"/>
        <w:jc w:val="both"/>
        <w:spacing w:before="0" w:beforeAutospacing="0" w:after="0" w:afterAutospacing="0" w:line="240" w:lineRule="auto"/>
        <w:rPr>
          <w:b w:val="0"/>
          <w:sz w:val="28"/>
          <w:szCs w:val="28"/>
          <w:lang w:eastAsia="en-US"/>
        </w:rPr>
        <w:outlineLvl w:val="0"/>
      </w:pPr>
      <w:r>
        <w:rPr>
          <w:b w:val="0"/>
          <w:sz w:val="28"/>
          <w:szCs w:val="28"/>
          <w:lang w:eastAsia="en-US"/>
        </w:rPr>
        <w:t xml:space="preserve">В составе расходов на реализацию государственных программ предусмотрено финансирование </w:t>
      </w:r>
      <w:r>
        <w:rPr>
          <w:sz w:val="28"/>
          <w:szCs w:val="28"/>
          <w:lang w:eastAsia="en-US"/>
        </w:rPr>
        <w:t xml:space="preserve">2</w:t>
      </w:r>
      <w:r>
        <w:rPr>
          <w:sz w:val="28"/>
          <w:szCs w:val="28"/>
          <w:lang w:eastAsia="en-US"/>
        </w:rPr>
        <w:t xml:space="preserve">7</w:t>
      </w:r>
      <w:r>
        <w:rPr>
          <w:sz w:val="28"/>
          <w:szCs w:val="28"/>
          <w:lang w:eastAsia="en-US"/>
        </w:rPr>
        <w:t xml:space="preserve"> региональных проект</w:t>
      </w:r>
      <w:r>
        <w:rPr>
          <w:sz w:val="28"/>
          <w:szCs w:val="28"/>
          <w:lang w:eastAsia="en-US"/>
        </w:rPr>
        <w:t xml:space="preserve">ов</w:t>
      </w:r>
      <w:r>
        <w:rPr>
          <w:b w:val="0"/>
          <w:sz w:val="28"/>
          <w:szCs w:val="28"/>
          <w:lang w:eastAsia="en-US"/>
        </w:rPr>
        <w:t xml:space="preserve"> в рамках мероприятий национальных проектов, разработанных в соответствии с Указом Президента Российской Федерации от 7 мая 2024 года №</w:t>
      </w:r>
      <w:r>
        <w:rPr>
          <w:b w:val="0"/>
          <w:sz w:val="28"/>
          <w:szCs w:val="28"/>
          <w:lang w:eastAsia="en-US"/>
        </w:rPr>
        <w:t xml:space="preserve"> </w:t>
      </w:r>
      <w:r>
        <w:rPr>
          <w:b w:val="0"/>
          <w:sz w:val="28"/>
          <w:szCs w:val="28"/>
          <w:lang w:eastAsia="en-US"/>
        </w:rPr>
        <w:t xml:space="preserve">309 </w:t>
      </w:r>
      <w:r>
        <w:rPr>
          <w:b w:val="0"/>
          <w:sz w:val="28"/>
          <w:szCs w:val="28"/>
          <w:lang w:eastAsia="en-US"/>
        </w:rPr>
        <w:t xml:space="preserve">«</w:t>
      </w:r>
      <w:r>
        <w:rPr>
          <w:b w:val="0"/>
          <w:sz w:val="28"/>
          <w:szCs w:val="28"/>
          <w:lang w:eastAsia="en-US"/>
        </w:rPr>
        <w:t xml:space="preserve">О национальных целях развития Российской Федерации на период</w:t>
      </w:r>
      <w:r>
        <w:rPr>
          <w:b w:val="0"/>
          <w:sz w:val="28"/>
          <w:szCs w:val="28"/>
          <w:lang w:eastAsia="en-US"/>
        </w:rPr>
        <w:br/>
      </w:r>
      <w:r>
        <w:rPr>
          <w:b w:val="0"/>
          <w:sz w:val="28"/>
          <w:szCs w:val="28"/>
          <w:lang w:eastAsia="en-US"/>
        </w:rPr>
        <w:t xml:space="preserve">до 2030 года и на перспективу до 2036 года</w:t>
      </w:r>
      <w:r>
        <w:rPr>
          <w:b w:val="0"/>
          <w:sz w:val="28"/>
          <w:szCs w:val="28"/>
          <w:lang w:eastAsia="en-US"/>
        </w:rPr>
        <w:t xml:space="preserve">»</w:t>
      </w:r>
      <w:r>
        <w:rPr>
          <w:b w:val="0"/>
          <w:sz w:val="28"/>
          <w:szCs w:val="28"/>
          <w:lang w:eastAsia="en-US"/>
        </w:rPr>
        <w:t xml:space="preserve"> в сумме </w:t>
      </w:r>
      <w:r>
        <w:rPr>
          <w:b w:val="0"/>
          <w:sz w:val="28"/>
          <w:szCs w:val="28"/>
          <w:lang w:eastAsia="en-US"/>
        </w:rPr>
        <w:t xml:space="preserve">7 467 540,0</w:t>
      </w:r>
      <w:r>
        <w:rPr>
          <w:b w:val="0"/>
          <w:sz w:val="28"/>
          <w:szCs w:val="28"/>
          <w:lang w:eastAsia="en-US"/>
        </w:rPr>
        <w:t xml:space="preserve"> </w:t>
      </w:r>
      <w:r>
        <w:rPr>
          <w:b w:val="0"/>
          <w:sz w:val="28"/>
          <w:szCs w:val="28"/>
          <w:lang w:eastAsia="en-US"/>
        </w:rPr>
        <w:t xml:space="preserve">тыс. рублей</w:t>
      </w:r>
      <w:r>
        <w:rPr>
          <w:b w:val="0"/>
          <w:sz w:val="28"/>
          <w:szCs w:val="28"/>
          <w:lang w:eastAsia="en-US"/>
        </w:rPr>
        <w:t xml:space="preserve"> или 10,9 % общего объема расходов.</w:t>
      </w:r>
      <w:r>
        <w:rPr>
          <w:b w:val="0"/>
          <w:sz w:val="28"/>
          <w:szCs w:val="28"/>
          <w:lang w:eastAsia="en-US"/>
        </w:rPr>
      </w:r>
      <w:r>
        <w:rPr>
          <w:b w:val="0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Информация о финансировании мероприятий региональных проектов представлена в таблице №</w:t>
      </w:r>
      <w:r>
        <w:rPr>
          <w:sz w:val="28"/>
          <w:szCs w:val="28"/>
        </w:rPr>
        <w:t xml:space="preserve"> 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sz w:val="28"/>
          <w:szCs w:val="28"/>
          <w:lang w:eastAsia="en-US"/>
        </w:rPr>
        <w:outlineLvl w:val="0"/>
      </w:pPr>
      <w:r>
        <w:rPr>
          <w:rFonts w:eastAsia="Calibri"/>
          <w:b w:val="0"/>
          <w:sz w:val="28"/>
          <w:szCs w:val="28"/>
          <w:lang w:eastAsia="en-US"/>
        </w:rPr>
        <w:t xml:space="preserve">Таблица</w:t>
      </w:r>
      <w:r>
        <w:rPr>
          <w:b w:val="0"/>
          <w:sz w:val="28"/>
          <w:szCs w:val="28"/>
          <w:lang w:eastAsia="en-US"/>
        </w:rPr>
        <w:t xml:space="preserve"> №</w:t>
      </w:r>
      <w:r>
        <w:rPr>
          <w:b w:val="0"/>
          <w:sz w:val="28"/>
          <w:szCs w:val="28"/>
          <w:lang w:eastAsia="en-US"/>
        </w:rPr>
        <w:t xml:space="preserve"> 1</w:t>
      </w:r>
      <w:r>
        <w:rPr>
          <w:b w:val="0"/>
          <w:sz w:val="28"/>
          <w:szCs w:val="28"/>
          <w:lang w:eastAsia="en-US"/>
        </w:rPr>
        <w:t xml:space="preserve">1</w:t>
      </w:r>
      <w:r>
        <w:rPr>
          <w:b w:val="0"/>
          <w:sz w:val="28"/>
          <w:szCs w:val="28"/>
          <w:lang w:eastAsia="en-US"/>
        </w:rPr>
      </w:r>
      <w:r>
        <w:rPr>
          <w:b w:val="0"/>
          <w:sz w:val="28"/>
          <w:szCs w:val="28"/>
          <w:lang w:eastAsia="en-US"/>
        </w:rPr>
      </w:r>
    </w:p>
    <w:p>
      <w:pPr>
        <w:ind w:firstLine="709"/>
        <w:jc w:val="right"/>
        <w:spacing w:before="0" w:beforeAutospacing="0" w:after="0" w:afterAutospacing="0" w:line="240" w:lineRule="auto"/>
        <w:widowControl w:val="off"/>
        <w:rPr>
          <w:rFonts w:eastAsia="Calibri"/>
          <w:sz w:val="28"/>
          <w:szCs w:val="28"/>
          <w:highlight w:val="yellow"/>
        </w:rPr>
      </w:pPr>
      <w:r>
        <w:rPr>
          <w:sz w:val="28"/>
          <w:szCs w:val="28"/>
          <w:lang w:eastAsia="en-US"/>
        </w:rPr>
        <w:t xml:space="preserve">(тыс. рублей)</w:t>
      </w:r>
      <w:r>
        <w:rPr>
          <w:rFonts w:eastAsia="Calibri"/>
          <w:sz w:val="28"/>
          <w:szCs w:val="28"/>
          <w:highlight w:val="yellow"/>
        </w:rPr>
      </w:r>
      <w:r>
        <w:rPr>
          <w:rFonts w:eastAsia="Calibri"/>
          <w:sz w:val="28"/>
          <w:szCs w:val="28"/>
          <w:highlight w:val="yellow"/>
        </w:rPr>
      </w:r>
    </w:p>
    <w:tbl>
      <w:tblPr>
        <w:tblW w:w="100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1"/>
        <w:gridCol w:w="1276"/>
        <w:gridCol w:w="1701"/>
        <w:gridCol w:w="1701"/>
      </w:tblGrid>
      <w:tr>
        <w:tblPrEx/>
        <w:trPr>
          <w:trHeight w:val="341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национального проекта/</w:t>
            </w:r>
            <w:r>
              <w:rPr>
                <w:color w:val="000000"/>
                <w:sz w:val="20"/>
                <w:szCs w:val="20"/>
              </w:rPr>
              <w:br/>
              <w:t xml:space="preserve">Регионального проекта</w:t>
            </w:r>
            <w:r>
              <w:rPr>
                <w:color w:val="000000"/>
                <w:sz w:val="20"/>
                <w:szCs w:val="20"/>
              </w:rPr>
              <w:t xml:space="preserve"> (РП)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Утверждено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Финансирование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Уровень исполнения,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55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Региональные проекты – всего расходов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7 467 540,0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598 104,4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8,0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Продолжительная и активная жизнь (Д)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1 144 333,8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52 720,8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4,6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Модернизация первичного звена здравоохранения Российской Федерации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(Д1)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395 038,7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«Б</w:t>
            </w:r>
            <w:r>
              <w:rPr>
                <w:color w:val="000000"/>
                <w:sz w:val="20"/>
                <w:szCs w:val="20"/>
              </w:rPr>
              <w:t xml:space="preserve">орьба с сердечно-сосудистыми заболеваниями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(Д2)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3 691,9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Борьба с сахарным диабетом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(Д4)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1 012,6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Борьба с гепатитом С и минимизация рисков распространения данного заболевания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(Д5)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3 083,1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Совершенствование экстренной медицинской помощи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(Д6)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741 507,5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52 720,8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7,1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Технологическое обеспечение продовольственной безопасности (Е)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14 073,9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Кадры в агропромышленном комплексе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(Е4)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14 073,9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Инфраструктура для жизни (И)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4 849 205,4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382 872,0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7,9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Жилье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(И2)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1 238 656,8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Модернизация коммунальной инфраструктуры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(И3)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205 805,5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59 639,7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29,0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Формирование комфортной городской среды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(И4)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303 030,7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Региональная и местная дорожная сеть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(И8)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3 101 712,4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323 232,3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Кадры (Л)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116 267,6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2 102,7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1,8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Управление рынком труда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(Л1)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89 267,6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2 102,7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Активные меры содействия занятости</w:t>
            </w:r>
            <w:r>
              <w:rPr>
                <w:color w:val="000000"/>
                <w:sz w:val="20"/>
                <w:szCs w:val="20"/>
              </w:rPr>
              <w:t xml:space="preserve">» </w:t>
            </w:r>
            <w:r>
              <w:rPr>
                <w:color w:val="000000"/>
                <w:sz w:val="20"/>
                <w:szCs w:val="20"/>
              </w:rPr>
              <w:t xml:space="preserve">(Л3)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27 000,0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Туризм и гостеприимство (П)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30 303,1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Создание номерного фонда, инфраструктуры и</w:t>
            </w: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  <w:t xml:space="preserve">новых точек притяжения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(П1)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30 303,1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Экономика данных и цифровая трансформация государства (Ц)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5 193,7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Цифровые платформы в отраслях социальной сферы</w:t>
            </w:r>
            <w:r>
              <w:rPr>
                <w:color w:val="000000"/>
                <w:sz w:val="20"/>
                <w:szCs w:val="20"/>
              </w:rPr>
              <w:t xml:space="preserve">» </w:t>
            </w:r>
            <w:r>
              <w:rPr>
                <w:color w:val="000000"/>
                <w:sz w:val="20"/>
                <w:szCs w:val="20"/>
              </w:rPr>
              <w:t xml:space="preserve">(Ц2)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5 193,7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Экологическое благополучие (Ч)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67 399,3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1 000,0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1,5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Генеральная уборка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(Ч1)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65 500,0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Сохранение лесов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(Ч6)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1 899,3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Эффективная и конкурентная экономика (Э)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4 032,8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Малое и среднее предпринимательство и</w:t>
            </w: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  <w:t xml:space="preserve">поддержка индивидуальной предпринимательской инициативы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(Э1)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4 032,8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Молодежь и дети (Ю)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281 433,7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64 465,4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22,9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Мы вместе (Воспитание гармонично развитой личности)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(Ю2)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4 613,7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Все лучшее детям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(Ю4)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2 573,7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Педагоги и наставники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(Ю6)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274 246,3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64 465,4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Семья (Я)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955 296,7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94 943,5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9,9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Поддержка семьи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(Я1)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688 830,2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58 658,1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Многодетная семья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(Я2)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50 117,4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12 112,5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24,2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Охрана материнства и детства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(Я3)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58 393,6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Старшее поколение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(Я4)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140 423,7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23 562,6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16,8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1" w:type="dxa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РП «</w:t>
            </w:r>
            <w:r>
              <w:rPr>
                <w:color w:val="000000"/>
                <w:sz w:val="20"/>
                <w:szCs w:val="20"/>
              </w:rPr>
              <w:t xml:space="preserve">Семейные ценности и инфраструктура культуры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0"/>
                <w:szCs w:val="20"/>
              </w:rPr>
              <w:t xml:space="preserve"> (Я5)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17 531,8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610,3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Наибольший объем финансирования запланирован на региональные проекты «Региональная и местная дорожная сеть» – 41,5 %, «Жилье» – 16,6 %, «</w:t>
      </w:r>
      <w:r>
        <w:rPr>
          <w:rFonts w:eastAsia="Calibri"/>
          <w:sz w:val="28"/>
          <w:szCs w:val="28"/>
        </w:rPr>
        <w:t xml:space="preserve">Совершенствование экстренной медицинской помощи</w:t>
      </w:r>
      <w:r>
        <w:rPr>
          <w:rFonts w:eastAsia="Calibri"/>
          <w:sz w:val="28"/>
          <w:szCs w:val="28"/>
        </w:rPr>
        <w:t xml:space="preserve">» – 9,9 %.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В отчетном периоде на реализацию </w:t>
      </w:r>
      <w:r>
        <w:rPr>
          <w:color w:val="000000"/>
          <w:sz w:val="28"/>
          <w:szCs w:val="28"/>
        </w:rPr>
        <w:t xml:space="preserve">десяти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региональных проектов </w:t>
      </w:r>
      <w:r>
        <w:rPr>
          <w:color w:val="000000"/>
          <w:sz w:val="28"/>
          <w:szCs w:val="28"/>
        </w:rPr>
        <w:t xml:space="preserve">направлено 598 104,4 тыс. рублей (</w:t>
      </w:r>
      <w:r>
        <w:rPr>
          <w:rFonts w:eastAsia="Calibri"/>
          <w:sz w:val="28"/>
          <w:szCs w:val="28"/>
        </w:rPr>
        <w:t xml:space="preserve">8 % утвержденных ассигнований), из них наибольший объем приходится на региональные проекты «</w:t>
      </w:r>
      <w:r>
        <w:rPr>
          <w:color w:val="000000"/>
          <w:sz w:val="28"/>
          <w:szCs w:val="28"/>
        </w:rPr>
        <w:t xml:space="preserve">Региональная и местная дорожная сеть» (323 232,3 тыс. рублей), «</w:t>
      </w:r>
      <w:r>
        <w:rPr>
          <w:color w:val="000000"/>
          <w:sz w:val="28"/>
          <w:szCs w:val="28"/>
        </w:rPr>
        <w:t xml:space="preserve">Педагоги и наставники</w:t>
      </w:r>
      <w:r>
        <w:rPr>
          <w:color w:val="000000"/>
          <w:sz w:val="28"/>
          <w:szCs w:val="28"/>
        </w:rPr>
        <w:t xml:space="preserve">» (</w:t>
      </w:r>
      <w:r>
        <w:rPr>
          <w:color w:val="000000"/>
          <w:sz w:val="28"/>
          <w:szCs w:val="28"/>
        </w:rPr>
        <w:t xml:space="preserve">64 465,4 тыс. рублей) и </w:t>
      </w:r>
      <w:r>
        <w:rPr>
          <w:rFonts w:eastAsia="Calibri"/>
          <w:sz w:val="28"/>
          <w:szCs w:val="28"/>
        </w:rPr>
        <w:t xml:space="preserve">«</w:t>
      </w:r>
      <w:r>
        <w:rPr>
          <w:rFonts w:eastAsia="Calibri"/>
          <w:sz w:val="28"/>
          <w:szCs w:val="28"/>
        </w:rPr>
        <w:t xml:space="preserve">Модернизация коммунальной инфраструктуры</w:t>
      </w:r>
      <w:r>
        <w:rPr>
          <w:rFonts w:eastAsia="Calibri"/>
          <w:sz w:val="28"/>
          <w:szCs w:val="28"/>
        </w:rPr>
        <w:t xml:space="preserve">» (59 639,7 тыс. рублей)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</w:pPr>
      <w:r>
        <w:rPr>
          <w:rFonts w:eastAsia="Calibri"/>
          <w:sz w:val="28"/>
          <w:szCs w:val="28"/>
          <w:lang w:eastAsia="en-US"/>
        </w:rPr>
        <w:t xml:space="preserve">Финансирование мероприятий </w:t>
      </w:r>
      <w:r>
        <w:rPr>
          <w:rFonts w:eastAsia="Calibri"/>
          <w:b/>
          <w:sz w:val="28"/>
          <w:szCs w:val="28"/>
          <w:lang w:eastAsia="en-US"/>
        </w:rPr>
        <w:t xml:space="preserve">непрограммных направлений</w:t>
      </w:r>
      <w:r>
        <w:rPr>
          <w:rFonts w:eastAsia="Calibri"/>
          <w:sz w:val="28"/>
          <w:szCs w:val="28"/>
          <w:lang w:eastAsia="en-US"/>
        </w:rPr>
        <w:t xml:space="preserve"> деятельности составило </w:t>
      </w:r>
      <w:r>
        <w:rPr>
          <w:rFonts w:eastAsia="Calibri"/>
          <w:sz w:val="28"/>
          <w:szCs w:val="28"/>
          <w:lang w:eastAsia="en-US"/>
        </w:rPr>
        <w:t xml:space="preserve">19,1 </w:t>
      </w:r>
      <w:r>
        <w:rPr>
          <w:rFonts w:eastAsia="Calibri"/>
          <w:sz w:val="28"/>
          <w:szCs w:val="28"/>
          <w:lang w:eastAsia="en-US"/>
        </w:rPr>
        <w:t xml:space="preserve">% плановых назначений</w:t>
      </w:r>
      <w:r>
        <w:rPr>
          <w:rFonts w:eastAsia="Calibri"/>
          <w:sz w:val="28"/>
          <w:szCs w:val="28"/>
          <w:lang w:eastAsia="en-US"/>
        </w:rPr>
        <w:t xml:space="preserve"> или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908 448,5 </w:t>
      </w:r>
      <w:r>
        <w:rPr>
          <w:rFonts w:eastAsia="Calibri"/>
          <w:sz w:val="28"/>
          <w:szCs w:val="28"/>
          <w:lang w:eastAsia="en-US"/>
        </w:rPr>
        <w:t xml:space="preserve">тыс. рублей (</w:t>
      </w:r>
      <w:r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 xml:space="preserve">деятельности</w:t>
      </w:r>
      <w:r>
        <w:rPr>
          <w:sz w:val="28"/>
          <w:szCs w:val="28"/>
        </w:rPr>
        <w:t xml:space="preserve"> региональных органов власти и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исполнение отдельных обязательств Чукотского автономного округа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Резервный фонд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Правительства Чукотского автономного округа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Законом об окружном бюджете резервный фонд Правительства Чукотского автономного округа на непредвиденные расходы (далее – Резервный фонд) утвер</w:t>
      </w:r>
      <w:r>
        <w:rPr>
          <w:sz w:val="28"/>
          <w:szCs w:val="28"/>
        </w:rPr>
        <w:t xml:space="preserve">жден в объеме </w:t>
      </w:r>
      <w:r>
        <w:rPr>
          <w:sz w:val="28"/>
          <w:szCs w:val="28"/>
        </w:rPr>
        <w:t xml:space="preserve">250 000,0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58"/>
        <w:ind w:firstLine="709"/>
        <w:jc w:val="both"/>
        <w:spacing w:before="0" w:beforeAutospacing="0" w:after="0" w:afterAutospacing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Информация об использовании средств Резервного фонда в отчетном периоде в разрезе главных распорядителей бюджетных средств представлена в таблице №</w:t>
      </w:r>
      <w:r>
        <w:rPr>
          <w:sz w:val="28"/>
          <w:szCs w:val="28"/>
        </w:rPr>
        <w:t xml:space="preserve"> 12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sz w:val="28"/>
          <w:szCs w:val="28"/>
        </w:rPr>
        <w:outlineLvl w:val="0"/>
      </w:pPr>
      <w:r>
        <w:rPr>
          <w:rFonts w:eastAsia="Calibri"/>
          <w:b w:val="0"/>
          <w:sz w:val="28"/>
          <w:szCs w:val="28"/>
          <w:lang w:eastAsia="en-US"/>
        </w:rPr>
        <w:t xml:space="preserve">Таблица</w:t>
      </w:r>
      <w:r>
        <w:rPr>
          <w:b w:val="0"/>
          <w:sz w:val="28"/>
          <w:szCs w:val="28"/>
        </w:rPr>
        <w:t xml:space="preserve"> №</w:t>
      </w:r>
      <w:r>
        <w:rPr>
          <w:b w:val="0"/>
          <w:sz w:val="28"/>
          <w:szCs w:val="28"/>
        </w:rPr>
        <w:t xml:space="preserve"> </w:t>
      </w:r>
      <w:r>
        <w:rPr>
          <w:b w:val="0"/>
          <w:sz w:val="28"/>
          <w:szCs w:val="28"/>
        </w:rPr>
        <w:t xml:space="preserve">1</w:t>
      </w:r>
      <w:r>
        <w:rPr>
          <w:b w:val="0"/>
          <w:sz w:val="28"/>
          <w:szCs w:val="28"/>
        </w:rPr>
        <w:t xml:space="preserve">2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eastAsia="Calibri"/>
          <w:sz w:val="28"/>
          <w:szCs w:val="28"/>
          <w:highlight w:val="yellow"/>
        </w:rPr>
      </w:pPr>
      <w:r>
        <w:rPr>
          <w:sz w:val="28"/>
          <w:szCs w:val="28"/>
        </w:rPr>
        <w:t xml:space="preserve">(тыс. рублей)</w:t>
      </w:r>
      <w:bookmarkStart w:id="0" w:name="undefined"/>
      <w:r>
        <w:rPr>
          <w:rFonts w:eastAsia="Calibri"/>
          <w:sz w:val="28"/>
          <w:szCs w:val="28"/>
          <w:highlight w:val="yellow"/>
        </w:rPr>
      </w:r>
      <w:r>
        <w:rPr>
          <w:rFonts w:eastAsia="Calibri"/>
          <w:sz w:val="28"/>
          <w:szCs w:val="28"/>
          <w:highlight w:val="yellow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24"/>
        <w:gridCol w:w="1642"/>
        <w:gridCol w:w="1811"/>
        <w:gridCol w:w="1367"/>
      </w:tblGrid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получателя средств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Утверждено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7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инансирован</w:t>
            </w:r>
            <w:r>
              <w:rPr>
                <w:sz w:val="20"/>
                <w:szCs w:val="20"/>
              </w:rPr>
              <w:t xml:space="preserve">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Р</w:t>
            </w:r>
            <w:r>
              <w:rPr>
                <w:sz w:val="20"/>
                <w:szCs w:val="20"/>
              </w:rPr>
              <w:t xml:space="preserve">асход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5" w:type="pc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7" w:type="pc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</w:r>
            <w:bookmarkStart w:id="0" w:name="undefined"/>
            <w:r>
              <w:rPr>
                <w:b/>
                <w:bCs/>
                <w:sz w:val="20"/>
                <w:szCs w:val="20"/>
              </w:rPr>
              <w:t xml:space="preserve">Всего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36 651,9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7" w:type="pct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5 479,3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5 479,3</w:t>
            </w:r>
            <w:bookmarkEnd w:id="0"/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5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902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промышленной политики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1 200,0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5" w:type="pct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904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экономики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инвестиций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500,0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5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910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Аппарат Губернатора и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Правительства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62,5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62,5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62,5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5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918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образования и науки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3 249,4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693,7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693,7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5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922</w:t>
            </w: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  <w:t xml:space="preserve">Департамент гражданской защиты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31 640,0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57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3 423,1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3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3 423,1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4458"/>
        <w:ind w:firstLine="709"/>
        <w:jc w:val="both"/>
        <w:spacing w:before="0" w:beforeAutospacing="0" w:after="0" w:afterAutospacing="0" w:line="240" w:lineRule="auto"/>
        <w:shd w:val="clear" w:color="auto" w:fill="auto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Бюджетные ассигнования Резервного фонда используются по решению Правительства Чукотского автономного округа в соответствии с</w:t>
      </w:r>
      <w:r>
        <w:rPr>
          <w:sz w:val="28"/>
          <w:szCs w:val="28"/>
        </w:rPr>
        <w:t xml:space="preserve"> Положением </w:t>
      </w:r>
      <w:r>
        <w:rPr>
          <w:sz w:val="28"/>
          <w:szCs w:val="28"/>
        </w:rPr>
        <w:t xml:space="preserve">о порядке расходования средств Резервного фонда</w:t>
      </w:r>
      <w:r>
        <w:rPr>
          <w:rStyle w:val="4381"/>
          <w:sz w:val="28"/>
          <w:szCs w:val="28"/>
        </w:rPr>
        <w:footnoteReference w:id="182"/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планируются по</w:t>
      </w:r>
      <w:r>
        <w:rPr>
          <w:bCs/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подразделу 01 11 </w:t>
      </w:r>
      <w:r>
        <w:rPr>
          <w:bCs/>
          <w:sz w:val="28"/>
          <w:szCs w:val="28"/>
        </w:rPr>
        <w:t xml:space="preserve">«</w:t>
      </w:r>
      <w:r>
        <w:rPr>
          <w:rFonts w:eastAsiaTheme="minorHAnsi"/>
          <w:sz w:val="28"/>
          <w:szCs w:val="28"/>
        </w:rPr>
        <w:t xml:space="preserve">Резервные фонды</w:t>
      </w:r>
      <w:r>
        <w:rPr>
          <w:rFonts w:eastAsiaTheme="minorHAnsi"/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 и при исполнении распределяются по</w:t>
      </w:r>
      <w:r>
        <w:rPr>
          <w:bCs/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всей бюджетной классификации в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соответствии с назначением расходования средств.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443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Резервного фонда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предоставлены </w:t>
      </w:r>
      <w:r>
        <w:rPr>
          <w:rFonts w:ascii="Times New Roman" w:hAnsi="Times New Roman" w:cs="Times New Roman"/>
          <w:sz w:val="28"/>
          <w:szCs w:val="28"/>
        </w:rPr>
        <w:t xml:space="preserve">главным распорядителям средств окружного бюджета в сумме </w:t>
      </w:r>
      <w:r>
        <w:rPr>
          <w:rFonts w:ascii="Times New Roman" w:hAnsi="Times New Roman" w:cs="Times New Roman"/>
          <w:sz w:val="28"/>
          <w:szCs w:val="28"/>
        </w:rPr>
        <w:t xml:space="preserve">36 651,9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ыс. рублей, профинансировано</w:t>
      </w:r>
      <w:r>
        <w:rPr>
          <w:rFonts w:ascii="Times New Roman" w:hAnsi="Times New Roman" w:cs="Times New Roman"/>
          <w:sz w:val="28"/>
          <w:szCs w:val="28"/>
        </w:rPr>
        <w:t xml:space="preserve"> 5 479,3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>
        <w:rPr>
          <w:rFonts w:ascii="Times New Roman" w:hAnsi="Times New Roman" w:cs="Times New Roman"/>
          <w:sz w:val="28"/>
          <w:szCs w:val="28"/>
        </w:rPr>
        <w:t xml:space="preserve">14,9 </w:t>
      </w:r>
      <w:r>
        <w:rPr>
          <w:rFonts w:ascii="Times New Roman" w:hAnsi="Times New Roman" w:cs="Times New Roman"/>
          <w:sz w:val="28"/>
          <w:szCs w:val="28"/>
        </w:rPr>
        <w:t xml:space="preserve">%, расходы составили </w:t>
      </w:r>
      <w:r>
        <w:rPr>
          <w:rFonts w:ascii="Times New Roman" w:hAnsi="Times New Roman" w:cs="Times New Roman"/>
          <w:sz w:val="28"/>
          <w:szCs w:val="28"/>
        </w:rPr>
        <w:t xml:space="preserve">100 %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Наибольший объем средств Резервного фонда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3 423,0 тыс. рублей или 62,5% </w:t>
      </w:r>
      <w:r>
        <w:rPr>
          <w:sz w:val="28"/>
          <w:szCs w:val="28"/>
        </w:rPr>
        <w:t xml:space="preserve">направлен</w:t>
      </w:r>
      <w:r>
        <w:rPr>
          <w:sz w:val="28"/>
          <w:szCs w:val="28"/>
        </w:rPr>
        <w:t xml:space="preserve"> Департаменту гражданской защиты на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оплат</w:t>
      </w:r>
      <w:r>
        <w:rPr>
          <w:rFonts w:eastAsiaTheme="minorHAnsi"/>
          <w:sz w:val="28"/>
          <w:szCs w:val="28"/>
          <w:lang w:eastAsia="en-US"/>
        </w:rPr>
        <w:t xml:space="preserve">у</w:t>
      </w:r>
      <w:r>
        <w:rPr>
          <w:rFonts w:eastAsiaTheme="minorHAnsi"/>
          <w:sz w:val="28"/>
          <w:szCs w:val="28"/>
          <w:lang w:eastAsia="en-US"/>
        </w:rPr>
        <w:t xml:space="preserve"> расходов, связанных с доставкой, проживанием и</w:t>
      </w:r>
      <w:r>
        <w:rPr>
          <w:rFonts w:eastAsiaTheme="minorHAnsi"/>
          <w:sz w:val="28"/>
          <w:szCs w:val="28"/>
          <w:lang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питанием граждан, принявших решение о прохождении военной службы по</w:t>
      </w:r>
      <w:r>
        <w:rPr>
          <w:rFonts w:eastAsiaTheme="minorHAnsi"/>
          <w:sz w:val="28"/>
          <w:szCs w:val="28"/>
          <w:lang w:eastAsia="en-US"/>
        </w:rPr>
        <w:t xml:space="preserve"> </w:t>
      </w:r>
      <w:r>
        <w:rPr>
          <w:rFonts w:eastAsiaTheme="minorHAnsi"/>
          <w:sz w:val="28"/>
          <w:szCs w:val="28"/>
          <w:lang w:eastAsia="en-US"/>
        </w:rPr>
        <w:t xml:space="preserve">контракту</w:t>
      </w:r>
      <w:r>
        <w:rPr>
          <w:rFonts w:eastAsiaTheme="minorHAnsi"/>
          <w:sz w:val="28"/>
          <w:szCs w:val="28"/>
          <w:lang w:eastAsia="en-US"/>
        </w:rPr>
        <w:t xml:space="preserve">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jc w:val="center"/>
        <w:spacing w:before="0" w:beforeAutospacing="0" w:after="0" w:afterAutospacing="0" w:line="240" w:lineRule="auto"/>
        <w:widowControl w:val="off"/>
        <w:rPr>
          <w:rFonts w:eastAsia="Calibri"/>
          <w:bCs/>
          <w:sz w:val="28"/>
          <w:szCs w:val="28"/>
          <w:lang w:eastAsia="en-US"/>
        </w:rPr>
        <w:outlineLvl w:val="0"/>
      </w:pPr>
      <w:r>
        <w:rPr>
          <w:b/>
          <w:bCs/>
          <w:sz w:val="28"/>
          <w:szCs w:val="28"/>
        </w:rPr>
        <w:t xml:space="preserve">Го</w:t>
      </w:r>
      <w:r>
        <w:rPr>
          <w:rFonts w:eastAsia="Calibri"/>
          <w:b/>
          <w:bCs/>
          <w:sz w:val="28"/>
          <w:szCs w:val="28"/>
          <w:lang w:eastAsia="en-US"/>
        </w:rPr>
        <w:t xml:space="preserve">сударственный долг </w:t>
      </w:r>
      <w:r>
        <w:rPr>
          <w:rFonts w:eastAsia="Calibri"/>
          <w:b/>
          <w:bCs/>
          <w:sz w:val="28"/>
          <w:szCs w:val="28"/>
          <w:lang w:eastAsia="en-US"/>
        </w:rPr>
        <w:br/>
        <w:t xml:space="preserve">Чукотского автономного округа</w:t>
      </w:r>
      <w:r>
        <w:rPr>
          <w:rFonts w:eastAsia="Calibri"/>
          <w:bCs/>
          <w:sz w:val="28"/>
          <w:szCs w:val="28"/>
          <w:lang w:eastAsia="en-US"/>
        </w:rPr>
      </w:r>
      <w:r>
        <w:rPr>
          <w:rFonts w:eastAsia="Calibri"/>
          <w:bCs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Верхний предел государственного внутреннего долга Чукотского автономного округа на 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января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года установлен Законом об окружном бюджете в сумме </w:t>
      </w:r>
      <w:r>
        <w:rPr>
          <w:sz w:val="28"/>
          <w:szCs w:val="28"/>
        </w:rPr>
        <w:t xml:space="preserve">9 930 757,1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Согласно данным государственной долговой книги округа, </w:t>
      </w:r>
      <w:bookmarkStart w:id="0" w:name="undefined"/>
      <w:r>
        <w:rPr>
          <w:sz w:val="28"/>
          <w:szCs w:val="28"/>
        </w:rPr>
        <w:t xml:space="preserve">объем долговых обя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зательств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состоянию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 составил 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22 078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31"/>
        </w:numPr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10 944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382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основной долг по кредитам, полученным из федерального бюджета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- 7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224 110,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частичное покрытие дефицита бюджета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314 389,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финансовое обеспечение реализации инфраструктурных проектов</w:t>
      </w:r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8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105 883,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ыс. рублей –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специальный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казначейски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кредит</w:t>
      </w:r>
      <w:bookmarkEnd w:id="0"/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8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000,0 тыс. рублей –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пополнение остатка средств на едином счете бюджета</w:t>
      </w:r>
      <w:bookmarkEnd w:id="0"/>
      <w:r>
        <w:rPr>
          <w:rStyle w:val="4381"/>
          <w:rFonts w:ascii="Times New Roman" w:hAnsi="Times New Roman" w:eastAsia="Times New Roman" w:cs="Times New Roman"/>
          <w:sz w:val="28"/>
          <w:szCs w:val="28"/>
        </w:rPr>
        <w:footnoteReference w:id="18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32"/>
        </w:numPr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10 993 747,5 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 – обязательства по обеспечению государственных гарантий, предоставленных Правительством Чукотского автономного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32"/>
        </w:numPr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140 000,0 тыс. рублей –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государственные ценные бумаги Чукотского автономного округа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номинальной стоимости в валюте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Расходы на обслуживание государственного долга учтены в расходной части окружного бюджета в сумме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55 849,7 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31 349,7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проценты за пользование кредитами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24 500,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проценты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по государственным ценным бумагам.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асходы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обслуживание государственного долга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041,0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 – проценты </w:t>
      </w:r>
      <w:r>
        <w:rPr>
          <w:rFonts w:ascii="Times New Roman" w:hAnsi="Times New Roman" w:eastAsia="Times New Roman" w:cs="Times New Roman" w:eastAsiaTheme="minorHAnsi"/>
          <w:sz w:val="28"/>
          <w:szCs w:val="28"/>
          <w:lang w:eastAsia="en-US"/>
        </w:rPr>
        <w:t xml:space="preserve">по государственным ценным бумагам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 государственных гарантиях, предоставленных Правительством Чукотского автономного округа в отчетном периоде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обеспечения исполнения обязательств по кредитам, отражена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таблице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Таблица №</w:t>
      </w:r>
      <w:r>
        <w:rPr>
          <w:b w:val="0"/>
          <w:sz w:val="28"/>
          <w:szCs w:val="28"/>
        </w:rPr>
        <w:t xml:space="preserve"> </w:t>
      </w:r>
      <w:r>
        <w:rPr>
          <w:b w:val="0"/>
          <w:sz w:val="28"/>
          <w:szCs w:val="28"/>
        </w:rPr>
        <w:t xml:space="preserve">1</w:t>
      </w:r>
      <w:r>
        <w:rPr>
          <w:b w:val="0"/>
          <w:sz w:val="28"/>
          <w:szCs w:val="28"/>
        </w:rPr>
        <w:t xml:space="preserve">3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rFonts w:eastAsia="Calibri"/>
          <w:sz w:val="28"/>
          <w:szCs w:val="28"/>
          <w:highlight w:val="yellow"/>
        </w:rPr>
      </w:pPr>
      <w:r>
        <w:rPr>
          <w:sz w:val="28"/>
          <w:szCs w:val="28"/>
        </w:rPr>
        <w:t xml:space="preserve">(тыс. рублей)</w:t>
      </w:r>
      <w:bookmarkStart w:id="0" w:name="undefined"/>
      <w:r/>
      <w:bookmarkStart w:id="0" w:name="undefined"/>
      <w:r>
        <w:rPr>
          <w:rFonts w:eastAsia="Calibri"/>
          <w:sz w:val="28"/>
          <w:szCs w:val="28"/>
          <w:highlight w:val="yellow"/>
        </w:rPr>
      </w:r>
      <w:r>
        <w:rPr>
          <w:rFonts w:eastAsia="Calibri"/>
          <w:sz w:val="28"/>
          <w:szCs w:val="28"/>
          <w:highlight w:val="yellow"/>
        </w:rPr>
      </w:r>
    </w:p>
    <w:tbl>
      <w:tblPr>
        <w:tblW w:w="5155" w:type="pct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55"/>
        <w:gridCol w:w="1750"/>
        <w:gridCol w:w="1636"/>
        <w:gridCol w:w="1261"/>
        <w:gridCol w:w="1732"/>
      </w:tblGrid>
      <w:tr>
        <w:tblPrEx/>
        <w:trPr>
          <w:trHeight w:val="198"/>
        </w:trPr>
        <w:tc>
          <w:tcPr>
            <w:shd w:val="clear" w:color="ffffff" w:fill="ffffff"/>
            <w:tcW w:w="168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Наименование</w:t>
            </w:r>
            <w:r>
              <w:rPr>
                <w:sz w:val="20"/>
                <w:szCs w:val="20"/>
              </w:rPr>
              <w:br/>
              <w:t xml:space="preserve">заемщика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90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Остаток</w:t>
            </w:r>
            <w:r>
              <w:rPr>
                <w:color w:val="000000"/>
                <w:sz w:val="20"/>
                <w:szCs w:val="20"/>
              </w:rPr>
              <w:br/>
              <w:t xml:space="preserve">на 01.01.2026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65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Погашено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9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Остаток</w:t>
            </w:r>
            <w:r>
              <w:rPr>
                <w:color w:val="000000"/>
                <w:sz w:val="20"/>
                <w:szCs w:val="20"/>
              </w:rPr>
              <w:br/>
              <w:t xml:space="preserve">на 01.0</w:t>
            </w: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  <w:t xml:space="preserve">.202</w:t>
            </w:r>
            <w:r>
              <w:rPr>
                <w:color w:val="000000"/>
                <w:sz w:val="20"/>
                <w:szCs w:val="20"/>
              </w:rPr>
              <w:t xml:space="preserve">6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168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908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65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99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1689" w:type="pct"/>
            <w:vAlign w:val="bottom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90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56 970,0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4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14 515 000,0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65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3 578 222,5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9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10 993 747,5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1689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АО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Анадырьморпорт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90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4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250 000,0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65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9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250 000,0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1689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АО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ЧукотАвиа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90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56 970,0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4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65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9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56 970,0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1689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АО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Чукотснаб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90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4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13 400 000,0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65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3 578 222,5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9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9 821 777,5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1689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ООО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Берингов пролив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90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4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250 000,0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65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9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250 000,0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1689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ООО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Новомариинский</w:t>
            </w:r>
            <w:r>
              <w:rPr>
                <w:sz w:val="20"/>
                <w:szCs w:val="20"/>
              </w:rPr>
              <w:t xml:space="preserve"> ТПК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90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4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65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9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W w:w="1689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ООО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Чукотоптторг</w:t>
            </w:r>
            <w:r>
              <w:rPr>
                <w:sz w:val="20"/>
                <w:szCs w:val="20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908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4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515 000,0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65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899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515 000,0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отчетном периоде предоставлено </w:t>
      </w:r>
      <w:r>
        <w:rPr>
          <w:rFonts w:eastAsia="Calibri"/>
          <w:sz w:val="28"/>
          <w:szCs w:val="28"/>
        </w:rPr>
        <w:t xml:space="preserve">1</w:t>
      </w:r>
      <w:r>
        <w:rPr>
          <w:rFonts w:eastAsia="Calibri"/>
          <w:sz w:val="28"/>
          <w:szCs w:val="28"/>
        </w:rPr>
        <w:t xml:space="preserve">1</w:t>
      </w:r>
      <w:r>
        <w:rPr>
          <w:rFonts w:eastAsia="Calibri"/>
          <w:sz w:val="28"/>
          <w:szCs w:val="28"/>
        </w:rPr>
        <w:t xml:space="preserve"> государственных гарантий в размере </w:t>
      </w:r>
      <w:r>
        <w:rPr>
          <w:rFonts w:eastAsia="Calibri"/>
          <w:sz w:val="28"/>
          <w:szCs w:val="28"/>
        </w:rPr>
        <w:t xml:space="preserve">14 515 000,0</w:t>
      </w:r>
      <w:r>
        <w:rPr>
          <w:rFonts w:eastAsia="Calibri"/>
          <w:sz w:val="28"/>
          <w:szCs w:val="28"/>
        </w:rPr>
        <w:t xml:space="preserve"> </w:t>
      </w:r>
      <w:r>
        <w:rPr>
          <w:rFonts w:eastAsia="Calibri"/>
          <w:sz w:val="28"/>
          <w:szCs w:val="28"/>
        </w:rPr>
        <w:t xml:space="preserve">тыс. рублей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 состоянию на 1 </w:t>
      </w:r>
      <w:r>
        <w:rPr>
          <w:rFonts w:eastAsia="Calibri"/>
          <w:sz w:val="28"/>
          <w:szCs w:val="28"/>
        </w:rPr>
        <w:t xml:space="preserve">апреля </w:t>
      </w:r>
      <w:r>
        <w:rPr>
          <w:rFonts w:eastAsia="Calibri"/>
          <w:sz w:val="28"/>
          <w:szCs w:val="28"/>
        </w:rPr>
        <w:t xml:space="preserve">202</w:t>
      </w:r>
      <w:r>
        <w:rPr>
          <w:rFonts w:eastAsia="Calibri"/>
          <w:sz w:val="28"/>
          <w:szCs w:val="28"/>
        </w:rPr>
        <w:t xml:space="preserve">6</w:t>
      </w:r>
      <w:r>
        <w:rPr>
          <w:rFonts w:eastAsia="Calibri"/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обязательства по обеспечению государственных гарантий, предоставленных Правительством Чукотского автономного округа, составляют </w:t>
      </w:r>
      <w:r>
        <w:rPr>
          <w:sz w:val="28"/>
          <w:szCs w:val="28"/>
        </w:rPr>
        <w:t xml:space="preserve">10 993 747,5</w:t>
      </w:r>
      <w:r>
        <w:rPr>
          <w:sz w:val="28"/>
          <w:szCs w:val="28"/>
        </w:rPr>
        <w:t xml:space="preserve"> тыс. рублей, в том числе:</w:t>
      </w:r>
      <w:bookmarkEnd w:id="0"/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 подготовка флота к навигации </w:t>
      </w:r>
      <w:r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250 000,0 тыс. рублей (</w:t>
      </w:r>
      <w:bookmarkStart w:id="0" w:name="undefined"/>
      <w:r>
        <w:rPr>
          <w:bCs/>
          <w:sz w:val="28"/>
          <w:szCs w:val="28"/>
        </w:rPr>
        <w:t xml:space="preserve">Акционерное общество «</w:t>
      </w:r>
      <w:r>
        <w:rPr>
          <w:bCs/>
          <w:sz w:val="28"/>
          <w:szCs w:val="28"/>
        </w:rPr>
        <w:t xml:space="preserve">Анадырьморпорт</w:t>
      </w:r>
      <w:r>
        <w:rPr>
          <w:bCs/>
          <w:sz w:val="28"/>
          <w:szCs w:val="28"/>
        </w:rPr>
        <w:t xml:space="preserve">»</w:t>
      </w:r>
      <w:bookmarkEnd w:id="0"/>
      <w:r>
        <w:rPr>
          <w:rStyle w:val="4381"/>
          <w:bCs/>
          <w:sz w:val="28"/>
          <w:szCs w:val="28"/>
        </w:rPr>
        <w:footnoteReference w:id="186"/>
      </w:r>
      <w:r>
        <w:rPr>
          <w:bCs/>
          <w:sz w:val="28"/>
          <w:szCs w:val="28"/>
        </w:rPr>
        <w:t xml:space="preserve">);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 </w:t>
      </w:r>
      <w:r>
        <w:rPr>
          <w:bCs/>
          <w:sz w:val="28"/>
          <w:szCs w:val="28"/>
        </w:rPr>
        <w:t xml:space="preserve">обновление парка воздушных судов </w:t>
      </w:r>
      <w:r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56 970,0 тыс. рублей </w:t>
      </w:r>
      <w:r>
        <w:rPr>
          <w:bCs/>
          <w:sz w:val="28"/>
          <w:szCs w:val="28"/>
        </w:rPr>
        <w:t xml:space="preserve">(</w:t>
      </w:r>
      <w:r>
        <w:rPr>
          <w:bCs/>
          <w:sz w:val="28"/>
          <w:szCs w:val="28"/>
        </w:rPr>
        <w:t xml:space="preserve">Акционерное общество «</w:t>
      </w:r>
      <w:r>
        <w:rPr>
          <w:bCs/>
          <w:sz w:val="28"/>
          <w:szCs w:val="28"/>
        </w:rPr>
        <w:t xml:space="preserve">ЧукотА</w:t>
      </w:r>
      <w:r>
        <w:rPr>
          <w:bCs/>
          <w:sz w:val="28"/>
          <w:szCs w:val="28"/>
        </w:rPr>
        <w:t xml:space="preserve">виа</w:t>
      </w:r>
      <w:r>
        <w:rPr>
          <w:bCs/>
          <w:sz w:val="28"/>
          <w:szCs w:val="28"/>
        </w:rPr>
        <w:t xml:space="preserve">»</w:t>
      </w:r>
      <w:r>
        <w:rPr>
          <w:rStyle w:val="4381"/>
          <w:bCs/>
          <w:sz w:val="28"/>
          <w:szCs w:val="28"/>
        </w:rPr>
        <w:footnoteReference w:id="187"/>
      </w:r>
      <w:r>
        <w:rPr>
          <w:bCs/>
          <w:sz w:val="28"/>
          <w:szCs w:val="28"/>
        </w:rPr>
        <w:t xml:space="preserve">);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приобретение и доставк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топлива (нефтепродуктов)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9 821 777,5 тыс. рублей </w:t>
      </w:r>
      <w:r>
        <w:rPr>
          <w:sz w:val="28"/>
          <w:szCs w:val="28"/>
        </w:rPr>
        <w:t xml:space="preserve">(Акционерно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Чукотснаб</w:t>
      </w:r>
      <w:r>
        <w:rPr>
          <w:sz w:val="28"/>
          <w:szCs w:val="28"/>
        </w:rPr>
        <w:t xml:space="preserve">»</w:t>
      </w:r>
      <w:r>
        <w:rPr>
          <w:rStyle w:val="4381"/>
          <w:sz w:val="28"/>
          <w:szCs w:val="28"/>
        </w:rPr>
        <w:footnoteReference w:id="188"/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- приобретение и доставк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 продовольственных товаров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8</w:t>
      </w:r>
      <w:r>
        <w:rPr>
          <w:bCs/>
          <w:sz w:val="28"/>
          <w:szCs w:val="28"/>
        </w:rPr>
        <w:t xml:space="preserve">65</w:t>
      </w:r>
      <w:r>
        <w:rPr>
          <w:bCs/>
          <w:sz w:val="28"/>
          <w:szCs w:val="28"/>
        </w:rPr>
        <w:t xml:space="preserve"> 000,0</w:t>
      </w:r>
      <w:r>
        <w:rPr>
          <w:bCs/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тыс. рублей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бществ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с ограниченной ответственностью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Берингов Пролив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00,0</w:t>
      </w:r>
      <w:r>
        <w:rPr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тыс. рублей</w:t>
      </w:r>
      <w:r>
        <w:rPr>
          <w:rStyle w:val="4381"/>
          <w:bCs/>
          <w:sz w:val="28"/>
          <w:szCs w:val="28"/>
        </w:rPr>
        <w:footnoteReference w:id="189"/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ограниченной ответственностью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Новомариинский</w:t>
      </w:r>
      <w:r>
        <w:rPr>
          <w:sz w:val="28"/>
          <w:szCs w:val="28"/>
        </w:rPr>
        <w:t xml:space="preserve"> ТПК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1</w:t>
      </w:r>
      <w:r>
        <w:rPr>
          <w:sz w:val="28"/>
          <w:szCs w:val="28"/>
        </w:rPr>
        <w:t xml:space="preserve">00 000,0 </w:t>
      </w:r>
      <w:r>
        <w:rPr>
          <w:bCs/>
          <w:sz w:val="28"/>
          <w:szCs w:val="28"/>
        </w:rPr>
        <w:t xml:space="preserve">тыс. рублей</w:t>
      </w:r>
      <w:r>
        <w:rPr>
          <w:rStyle w:val="4381"/>
          <w:bCs/>
          <w:sz w:val="28"/>
          <w:szCs w:val="28"/>
        </w:rPr>
        <w:footnoteReference w:id="190"/>
      </w:r>
      <w:r>
        <w:rPr>
          <w:bCs/>
          <w:sz w:val="28"/>
          <w:szCs w:val="28"/>
        </w:rPr>
        <w:t xml:space="preserve"> и </w:t>
      </w:r>
      <w:r>
        <w:rPr>
          <w:sz w:val="28"/>
          <w:szCs w:val="28"/>
        </w:rPr>
        <w:t xml:space="preserve">Обществ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с ограниченной ответственностью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Чукот</w:t>
      </w:r>
      <w:r>
        <w:rPr>
          <w:sz w:val="28"/>
          <w:szCs w:val="28"/>
        </w:rPr>
        <w:t xml:space="preserve">ская оптовая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торговля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15</w:t>
      </w:r>
      <w:r>
        <w:rPr>
          <w:sz w:val="28"/>
          <w:szCs w:val="28"/>
        </w:rPr>
        <w:t xml:space="preserve"> 000,0 тыс. рублей</w:t>
      </w:r>
      <w:r>
        <w:rPr>
          <w:rStyle w:val="4381"/>
          <w:sz w:val="28"/>
          <w:szCs w:val="28"/>
        </w:rPr>
        <w:footnoteReference w:id="191"/>
      </w:r>
      <w:r>
        <w:rPr>
          <w:bCs/>
          <w:sz w:val="28"/>
          <w:szCs w:val="28"/>
        </w:rPr>
        <w:t xml:space="preserve">)</w:t>
      </w:r>
      <w:r>
        <w:rPr>
          <w:bCs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jc w:val="center"/>
        <w:spacing w:before="0" w:beforeAutospacing="0" w:after="0" w:afterAutospacing="0" w:line="240" w:lineRule="auto"/>
        <w:rPr>
          <w:b w:val="0"/>
          <w:sz w:val="28"/>
          <w:szCs w:val="28"/>
        </w:rPr>
        <w:outlineLvl w:val="0"/>
      </w:pPr>
      <w:r>
        <w:rPr>
          <w:sz w:val="28"/>
          <w:szCs w:val="28"/>
        </w:rPr>
        <w:t xml:space="preserve">Источники </w:t>
      </w:r>
      <w:r>
        <w:rPr>
          <w:sz w:val="28"/>
          <w:szCs w:val="28"/>
        </w:rPr>
        <w:br/>
        <w:t xml:space="preserve">финансирования дефицита окружного бюджета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Законом об окружном бюджете </w:t>
      </w: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  <w:t xml:space="preserve"> дефицит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2026 год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размере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218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697,1</w:t>
      </w:r>
      <w:r>
        <w:rPr>
          <w:rFonts w:eastAsiaTheme="minorHAnsi"/>
          <w:sz w:val="28"/>
          <w:szCs w:val="28"/>
          <w:lang w:eastAsia="en-US"/>
        </w:rPr>
        <w:t xml:space="preserve"> </w:t>
      </w:r>
      <w:r>
        <w:rPr>
          <w:sz w:val="28"/>
          <w:szCs w:val="28"/>
        </w:rPr>
        <w:t xml:space="preserve">тыс. рублей. Окружной бюджет по результатам отчетного периода исполнен с </w:t>
      </w:r>
      <w:r>
        <w:rPr>
          <w:sz w:val="28"/>
          <w:szCs w:val="28"/>
        </w:rPr>
        <w:t xml:space="preserve">профицитом </w:t>
      </w:r>
      <w:r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1 966 396,6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Показатели источников внутреннего финансирования дефицита бюджета </w:t>
      </w:r>
      <w:r>
        <w:rPr>
          <w:spacing w:val="-4"/>
          <w:sz w:val="28"/>
          <w:szCs w:val="28"/>
        </w:rPr>
        <w:t xml:space="preserve">представлены в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таблице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№</w:t>
      </w:r>
      <w:r>
        <w:rPr>
          <w:spacing w:val="-4"/>
          <w:sz w:val="28"/>
          <w:szCs w:val="28"/>
        </w:rPr>
        <w:t xml:space="preserve"> </w:t>
      </w:r>
      <w:r>
        <w:rPr>
          <w:spacing w:val="-4"/>
          <w:sz w:val="28"/>
          <w:szCs w:val="28"/>
        </w:rPr>
        <w:t xml:space="preserve">1</w:t>
      </w:r>
      <w:r>
        <w:rPr>
          <w:spacing w:val="-4"/>
          <w:sz w:val="28"/>
          <w:szCs w:val="28"/>
        </w:rPr>
        <w:t xml:space="preserve">4</w:t>
      </w:r>
      <w:r>
        <w:rPr>
          <w:spacing w:val="-4"/>
          <w:sz w:val="28"/>
          <w:szCs w:val="28"/>
        </w:rPr>
        <w:t xml:space="preserve">.</w:t>
      </w:r>
      <w:r>
        <w:rPr>
          <w:spacing w:val="-4"/>
          <w:sz w:val="28"/>
          <w:szCs w:val="28"/>
        </w:rPr>
      </w:r>
      <w:r>
        <w:rPr>
          <w:spacing w:val="-4"/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Таблица №</w:t>
      </w:r>
      <w:r>
        <w:rPr>
          <w:b w:val="0"/>
          <w:sz w:val="28"/>
          <w:szCs w:val="28"/>
        </w:rPr>
        <w:t xml:space="preserve"> </w:t>
      </w:r>
      <w:r>
        <w:rPr>
          <w:b w:val="0"/>
          <w:sz w:val="28"/>
          <w:szCs w:val="28"/>
        </w:rPr>
        <w:t xml:space="preserve">1</w:t>
      </w:r>
      <w:r>
        <w:rPr>
          <w:b w:val="0"/>
          <w:sz w:val="28"/>
          <w:szCs w:val="28"/>
        </w:rPr>
        <w:t xml:space="preserve">4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rPr>
          <w:spacing w:val="-4"/>
          <w:sz w:val="28"/>
          <w:szCs w:val="28"/>
          <w:highlight w:val="yellow"/>
        </w:rPr>
      </w:pPr>
      <w:r>
        <w:rPr>
          <w:sz w:val="28"/>
          <w:szCs w:val="28"/>
        </w:rPr>
        <w:t xml:space="preserve">(тыс. рублей)</w:t>
      </w:r>
      <w:r>
        <w:rPr>
          <w:spacing w:val="-4"/>
          <w:sz w:val="28"/>
          <w:szCs w:val="28"/>
          <w:highlight w:val="yellow"/>
        </w:rPr>
      </w:r>
      <w:r>
        <w:rPr>
          <w:spacing w:val="-4"/>
          <w:sz w:val="28"/>
          <w:szCs w:val="28"/>
          <w:highlight w:val="yellow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83"/>
        <w:gridCol w:w="1831"/>
        <w:gridCol w:w="1930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</w:t>
            </w:r>
            <w:r>
              <w:rPr>
                <w:color w:val="000000"/>
                <w:sz w:val="20"/>
                <w:szCs w:val="20"/>
              </w:rPr>
              <w:br/>
              <w:t xml:space="preserve">показателя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Утверждено (ф. 0503117)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Исполнено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Доходы бюджета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60 869 037,2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19 112 476,3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Расходы бюджета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68 429 374,5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17 146 079,7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 исполнения бюджета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(Дефицит «-»; Профицит «+»)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-3 218 697,1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1 966 396,6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Источники внутреннего финансирования дефицита, в том числе: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3 218 697,1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-1 966 396,6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1. Государственные ценные бумаги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2 000 000,0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2. Бюджетные кредиты от других бюджетов 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-252 415,5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3 300 000,0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получено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3 516 431,9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3 300 000,0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возврат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-3 768 847,4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3. Бюджетные кредиты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1 171 112,6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-3 271 875,0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-3 353 138,1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-3 300 000,0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возврат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4 524 250,7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28 125,0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6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4. Изменения остатков средств на счетах по учету средств бюджета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300 000,0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-1 994 521,6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4404"/>
        <w:ind w:right="0" w:firstLine="709"/>
        <w:jc w:val="both"/>
        <w:spacing w:before="0" w:beforeAutospacing="0" w:after="0" w:afterAutospacing="0" w:line="240" w:lineRule="auto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Структура источников внутреннего финансирования дефицита окружного бюджета соответствует статье 95 Бюджетного кодекса.</w:t>
      </w:r>
      <w:r>
        <w:rPr>
          <w:spacing w:val="-4"/>
          <w:sz w:val="28"/>
          <w:szCs w:val="28"/>
        </w:rPr>
      </w:r>
      <w:r>
        <w:rPr>
          <w:spacing w:val="-4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На конец отчетного периода объем долговых обязательств Чукотского автономного округа по бюджетным кредитам </w:t>
      </w:r>
      <w:r>
        <w:rPr>
          <w:sz w:val="28"/>
          <w:szCs w:val="28"/>
        </w:rPr>
        <w:t xml:space="preserve">увеличился на</w:t>
      </w:r>
      <w:r>
        <w:rPr>
          <w:sz w:val="28"/>
          <w:szCs w:val="28"/>
        </w:rPr>
        <w:t xml:space="preserve"> 3 300 000,0</w:t>
      </w:r>
      <w:r>
        <w:rPr>
          <w:sz w:val="28"/>
          <w:szCs w:val="28"/>
        </w:rPr>
        <w:t xml:space="preserve"> тыс.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рублей за счет привлечения бюджетного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(казначейского)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кредита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пополнение остатка средств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едином счете бюджета с предельным сроком погашения 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24 декабря 2026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направленного на кредитование юридических лиц, в том числе для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осуществления северного завоза.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об окружном бюджете предоставление бюджетных кредитов установлено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сумме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3 353 138,1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рублей, в том числе: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33"/>
        </w:numPr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0 000,0 тыс. рублей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местным бюджетам на частичное покрытие дефицитов местных бюджетов;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4386"/>
        <w:numPr>
          <w:ilvl w:val="0"/>
          <w:numId w:val="33"/>
        </w:numPr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3 313 138,1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тыс. рублей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юридическим лицам на закупку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доставку: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топлива на территорию округа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000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000,0 тыс. рублей;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социально значимых продовольственных товаров 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непродовольственных товаров народного потребления первой необходимости – 3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0 000,0 тыс. рублей;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 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лекарственных и медицинских изделий, специализированных продуктов лечебного питания, непродовольственных товаров народного потребления первой необходимости –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13 138,1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 тыс. рублей.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отчетном периоде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погашение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бюджетных кредитов муниципальным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образованиям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производилось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адолженность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конец отчетного периода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выданным из окружного бюджета кредитам муниципальным образованиям составила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90 000,0 тыс.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- 51 500,0 тыс. рублей –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ородской округ Анадырь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- 19 454,3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Анадырский муниципальный округ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- 19 045,7 тыс. рублей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Чукотский муниципальный район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Плата за пользование бюджетными кредитами мун</w:t>
      </w:r>
      <w:r>
        <w:rPr>
          <w:sz w:val="28"/>
          <w:szCs w:val="28"/>
        </w:rPr>
        <w:t xml:space="preserve">иципальными образованиями округа в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году установлена в размере </w:t>
      </w:r>
      <w:r>
        <w:rPr>
          <w:bCs/>
          <w:sz w:val="28"/>
          <w:szCs w:val="28"/>
        </w:rPr>
        <w:t xml:space="preserve">0,1% годовых</w:t>
      </w:r>
      <w:r>
        <w:rPr>
          <w:bCs/>
          <w:sz w:val="28"/>
          <w:szCs w:val="28"/>
        </w:rPr>
        <w:t xml:space="preserve">. В отчетном периоде </w:t>
      </w:r>
      <w:r>
        <w:rPr>
          <w:sz w:val="28"/>
          <w:szCs w:val="28"/>
        </w:rPr>
        <w:t xml:space="preserve">в доход окружного бюджета не поступала плата за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предоставление бюджетных кредитов муниципальным образованиям.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Задолженность по кредитам юридических лиц перед окружным бюджетом </w:t>
      </w:r>
      <w:r>
        <w:rPr>
          <w:sz w:val="28"/>
          <w:szCs w:val="28"/>
        </w:rPr>
        <w:t xml:space="preserve">по состоянию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апреля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составила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404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625,7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 (</w:t>
      </w:r>
      <w:r>
        <w:rPr>
          <w:sz w:val="28"/>
          <w:szCs w:val="28"/>
        </w:rPr>
        <w:t xml:space="preserve">таблиц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jc w:val="right"/>
        <w:spacing w:before="0" w:beforeAutospacing="0" w:after="0" w:afterAutospacing="0" w:line="240" w:lineRule="auto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Таблица №</w:t>
      </w:r>
      <w:r>
        <w:rPr>
          <w:b w:val="0"/>
          <w:sz w:val="28"/>
          <w:szCs w:val="28"/>
        </w:rPr>
        <w:t xml:space="preserve"> </w:t>
      </w:r>
      <w:r>
        <w:rPr>
          <w:b w:val="0"/>
          <w:sz w:val="28"/>
          <w:szCs w:val="28"/>
        </w:rPr>
        <w:t xml:space="preserve">1</w:t>
      </w:r>
      <w:r>
        <w:rPr>
          <w:b w:val="0"/>
          <w:sz w:val="28"/>
          <w:szCs w:val="28"/>
        </w:rPr>
        <w:t xml:space="preserve">5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firstLine="709"/>
        <w:jc w:val="right"/>
        <w:spacing w:before="0" w:beforeAutospacing="0" w:after="0" w:afterAutospacing="0" w:line="240" w:lineRule="auto"/>
        <w:widowControl w:val="off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(тыс. рублей)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71"/>
        <w:gridCol w:w="1740"/>
        <w:gridCol w:w="1652"/>
        <w:gridCol w:w="1168"/>
        <w:gridCol w:w="1813"/>
      </w:tblGrid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Получатель </w:t>
            </w:r>
            <w:r>
              <w:rPr>
                <w:sz w:val="20"/>
                <w:szCs w:val="20"/>
              </w:rPr>
              <w:br/>
              <w:t xml:space="preserve">бюджетного кредита</w:t>
            </w:r>
            <w:r>
              <w:rPr>
                <w:sz w:val="20"/>
                <w:szCs w:val="20"/>
              </w:rPr>
              <w:br/>
              <w:t xml:space="preserve">(юридическое лицо)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Остаток</w:t>
            </w:r>
            <w:r>
              <w:rPr>
                <w:color w:val="000000"/>
                <w:sz w:val="20"/>
                <w:szCs w:val="20"/>
              </w:rPr>
              <w:br/>
              <w:t xml:space="preserve">на 01.01.2026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Погашено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Остаток</w:t>
            </w:r>
            <w:r>
              <w:rPr>
                <w:color w:val="000000"/>
                <w:sz w:val="20"/>
                <w:szCs w:val="20"/>
              </w:rPr>
              <w:br/>
              <w:t xml:space="preserve">на 01.04.2026 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  <w:tblHeader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4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5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0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 бюджетных кредитов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1 132 750,7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3 300 000,0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28 125,0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4 404 625,7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0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АО </w:t>
            </w:r>
            <w:r>
              <w:rPr>
                <w:color w:val="000000"/>
                <w:sz w:val="20"/>
                <w:szCs w:val="20"/>
              </w:rPr>
              <w:t xml:space="preserve">«</w:t>
            </w:r>
            <w:r>
              <w:rPr>
                <w:color w:val="000000"/>
                <w:sz w:val="20"/>
                <w:szCs w:val="20"/>
              </w:rPr>
              <w:t xml:space="preserve">ЧТК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627 750,7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627 750,7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0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АО </w:t>
            </w:r>
            <w:r>
              <w:rPr>
                <w:color w:val="000000"/>
                <w:sz w:val="20"/>
                <w:szCs w:val="20"/>
              </w:rPr>
              <w:t xml:space="preserve">«</w:t>
            </w:r>
            <w:r>
              <w:rPr>
                <w:color w:val="000000"/>
                <w:sz w:val="20"/>
                <w:szCs w:val="20"/>
              </w:rPr>
              <w:t xml:space="preserve">Чукотснаб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3 000 000,0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3 000 000,0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0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>
              <w:rPr>
                <w:color w:val="000000"/>
                <w:sz w:val="20"/>
                <w:szCs w:val="20"/>
              </w:rPr>
              <w:t xml:space="preserve">«</w:t>
            </w:r>
            <w:r>
              <w:rPr>
                <w:color w:val="000000"/>
                <w:sz w:val="20"/>
                <w:szCs w:val="20"/>
              </w:rPr>
              <w:t xml:space="preserve">Тепло-Лаврентия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0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>
              <w:rPr>
                <w:color w:val="000000"/>
                <w:sz w:val="20"/>
                <w:szCs w:val="20"/>
              </w:rPr>
              <w:t xml:space="preserve">«</w:t>
            </w:r>
            <w:r>
              <w:rPr>
                <w:color w:val="000000"/>
                <w:sz w:val="20"/>
                <w:szCs w:val="20"/>
              </w:rPr>
              <w:t xml:space="preserve">Тепло-</w:t>
            </w:r>
            <w:r>
              <w:rPr>
                <w:color w:val="000000"/>
                <w:sz w:val="20"/>
                <w:szCs w:val="20"/>
              </w:rPr>
              <w:t xml:space="preserve">Лорино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130 000,0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130 000,0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0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>
              <w:rPr>
                <w:color w:val="000000"/>
                <w:sz w:val="20"/>
                <w:szCs w:val="20"/>
              </w:rPr>
              <w:t xml:space="preserve">«</w:t>
            </w:r>
            <w:r>
              <w:rPr>
                <w:color w:val="000000"/>
                <w:sz w:val="20"/>
                <w:szCs w:val="20"/>
              </w:rPr>
              <w:t xml:space="preserve">Чукотоптторг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300 000,0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0" w:type="pct"/>
            <w:vAlign w:val="center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>
              <w:rPr>
                <w:color w:val="000000"/>
                <w:sz w:val="20"/>
                <w:szCs w:val="20"/>
              </w:rPr>
              <w:t xml:space="preserve">«</w:t>
            </w:r>
            <w:r>
              <w:rPr>
                <w:color w:val="000000"/>
                <w:sz w:val="20"/>
                <w:szCs w:val="20"/>
              </w:rPr>
              <w:t xml:space="preserve">Чукотфармация</w:t>
            </w:r>
            <w:r>
              <w:rPr>
                <w:color w:val="000000"/>
                <w:sz w:val="20"/>
                <w:szCs w:val="20"/>
              </w:rPr>
              <w:t xml:space="preserve">»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1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75 000,0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84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25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28 125,0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/>
          </w:tcPr>
          <w:p>
            <w:pPr>
              <w:jc w:val="right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46 875,0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ind w:right="-2"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выданы бюджетные кредиты</w:t>
      </w:r>
      <w:r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300</w:t>
      </w:r>
      <w:r>
        <w:rPr>
          <w:sz w:val="28"/>
          <w:szCs w:val="28"/>
        </w:rPr>
        <w:t xml:space="preserve"> 000,0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 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000</w:t>
      </w:r>
      <w:r>
        <w:rPr>
          <w:sz w:val="28"/>
          <w:szCs w:val="28"/>
        </w:rPr>
        <w:t xml:space="preserve"> 000,0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и доставк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топлива на территорию округа</w:t>
      </w:r>
      <w:r>
        <w:rPr>
          <w:sz w:val="28"/>
          <w:szCs w:val="28"/>
        </w:rPr>
        <w:t xml:space="preserve"> (Акционерное общество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Чукотснаб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"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- 3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0 000,0 тыс. рублей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и доставк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социально значимых продовольственных товаров и непродовольственных товаров народного потребления первой необходимости</w:t>
      </w:r>
      <w:r>
        <w:rPr>
          <w:sz w:val="28"/>
          <w:szCs w:val="28"/>
        </w:rPr>
        <w:t xml:space="preserve"> (Общество с ограниченной ответственностью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Чукотоптторг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Плата за пользование бюджетными кредитами юридическими лицами в 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году установлена пунктом 4 статьи 8 Закона об окружном бюджете в размере: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0,1 %</w:t>
      </w:r>
      <w:r>
        <w:rPr>
          <w:rFonts w:asciiTheme="minorHAnsi" w:hAnsiTheme="minorHAnsi" w:eastAsiaTheme="minorEastAsia" w:cstheme="minorBidi"/>
          <w:sz w:val="22"/>
          <w:szCs w:val="22"/>
        </w:rPr>
        <w:t xml:space="preserve"> </w:t>
      </w:r>
      <w:r>
        <w:rPr>
          <w:rFonts w:eastAsiaTheme="minorEastAsia"/>
          <w:sz w:val="28"/>
          <w:szCs w:val="28"/>
        </w:rPr>
        <w:t xml:space="preserve">– </w:t>
      </w:r>
      <w:r>
        <w:rPr>
          <w:sz w:val="28"/>
          <w:szCs w:val="28"/>
        </w:rPr>
        <w:t xml:space="preserve">закупка и доставка топлива и социально значимых продовольственных товаров и непродовольственных товаров народного потребления первой необходимости;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3 % – закупка и доставка лекарственных и медицинских изделий, специализированных продуктов лечебного питания, непродовольственных товаров народного потребления первой необходимости.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в доход окружного бюджета поступила плата за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предоставление юридическим лицам бюджетных кредитов в сумме </w:t>
      </w:r>
      <w:r>
        <w:rPr>
          <w:sz w:val="28"/>
          <w:szCs w:val="28"/>
        </w:rPr>
        <w:t xml:space="preserve">485,4</w:t>
      </w:r>
      <w:r>
        <w:rPr>
          <w:sz w:val="28"/>
          <w:szCs w:val="28"/>
        </w:rPr>
        <w:t xml:space="preserve"> тыс. рублей</w:t>
      </w:r>
      <w:r>
        <w:rPr>
          <w:rStyle w:val="4381"/>
          <w:sz w:val="28"/>
          <w:szCs w:val="28"/>
        </w:rPr>
        <w:footnoteReference w:id="192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связи с нарушением </w:t>
      </w:r>
      <w:r>
        <w:rPr>
          <w:sz w:val="28"/>
          <w:szCs w:val="28"/>
        </w:rPr>
        <w:t xml:space="preserve">юридическими лицами условий предоставления кредитов из окружного бюджета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bookmarkStart w:id="0" w:name="undefined"/>
      <w:r>
        <w:rPr>
          <w:sz w:val="28"/>
          <w:szCs w:val="28"/>
        </w:rPr>
        <w:t xml:space="preserve">Департаментом финансов в 2025 году направлены иски</w:t>
      </w:r>
      <w:r>
        <w:rPr>
          <w:sz w:val="28"/>
          <w:szCs w:val="28"/>
          <w:vertAlign w:val="superscript"/>
        </w:rPr>
        <w:footnoteReference w:id="193"/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Арбитражный суд Чукотского автономного округа о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взыскании задолженности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возврату бюджетных кредитов, процентов и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пеней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Непубличн</w:t>
      </w:r>
      <w:r>
        <w:rPr>
          <w:sz w:val="28"/>
          <w:szCs w:val="28"/>
        </w:rPr>
        <w:t xml:space="preserve">ое</w:t>
      </w:r>
      <w:r>
        <w:rPr>
          <w:sz w:val="28"/>
          <w:szCs w:val="28"/>
        </w:rPr>
        <w:t xml:space="preserve"> акционерн</w:t>
      </w:r>
      <w:r>
        <w:rPr>
          <w:sz w:val="28"/>
          <w:szCs w:val="28"/>
        </w:rPr>
        <w:t xml:space="preserve">ое</w:t>
      </w:r>
      <w:r>
        <w:rPr>
          <w:sz w:val="28"/>
          <w:szCs w:val="28"/>
        </w:rPr>
        <w:t xml:space="preserve"> общество «Чукотская торговая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компания»</w:t>
      </w:r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627 750,7 тыс. рублей, Общество с ограниченной ответственностью «Тепло-Лаврентия»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300 000,0 тыс. рублей и Общество с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ограниченной ответственностью «Тепло-</w:t>
      </w:r>
      <w:r>
        <w:rPr>
          <w:sz w:val="28"/>
          <w:szCs w:val="28"/>
        </w:rPr>
        <w:t xml:space="preserve">Лорино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130 000,0 тыс. рублей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Исковые требования о взыскании задолженности с Непубличного акционерного общества «Чукотская торговая компания», Общества </w:t>
      </w:r>
      <w:r>
        <w:rPr>
          <w:sz w:val="28"/>
          <w:szCs w:val="28"/>
        </w:rPr>
        <w:t xml:space="preserve">с ограниченной ответственностью «Тепло-Лаврентия» и Общества с ограниченной ответственностью «Тепло-</w:t>
      </w:r>
      <w:r>
        <w:rPr>
          <w:sz w:val="28"/>
          <w:szCs w:val="28"/>
        </w:rPr>
        <w:t xml:space="preserve">Лорино</w:t>
      </w:r>
      <w:r>
        <w:rPr>
          <w:sz w:val="28"/>
          <w:szCs w:val="28"/>
        </w:rPr>
        <w:t xml:space="preserve">» удовлетворены решениями Арбитражного суда Чукотского автономного округа</w:t>
      </w:r>
      <w:r>
        <w:rPr>
          <w:sz w:val="28"/>
          <w:szCs w:val="28"/>
          <w:vertAlign w:val="superscript"/>
        </w:rPr>
        <w:footnoteReference w:id="194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403"/>
        <w:jc w:val="center"/>
        <w:spacing w:before="0" w:beforeAutospacing="0" w:after="0" w:afterAutospacing="0" w:line="240" w:lineRule="auto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Выводы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 Социально-экономическое положение Чукотского автономного округа в отчетном периоде в сравнении с аналогичным периодом прошлого года характеризуется </w:t>
      </w:r>
      <w:r>
        <w:rPr>
          <w:sz w:val="28"/>
          <w:szCs w:val="28"/>
        </w:rPr>
        <w:t xml:space="preserve">снижением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индекса промышленного производства.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851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Объем отгруженных товаров собственного производства, выполненных работ и </w:t>
      </w:r>
      <w:r>
        <w:rPr>
          <w:sz w:val="28"/>
          <w:szCs w:val="28"/>
        </w:rPr>
        <w:t xml:space="preserve">услуг, оказанных </w:t>
      </w:r>
      <w:r>
        <w:rPr>
          <w:sz w:val="28"/>
          <w:szCs w:val="28"/>
        </w:rPr>
        <w:t xml:space="preserve">собственными силами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за январь-</w:t>
      </w:r>
      <w:r>
        <w:rPr>
          <w:sz w:val="28"/>
          <w:szCs w:val="28"/>
        </w:rPr>
        <w:t xml:space="preserve">март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года составил </w:t>
      </w:r>
      <w:r>
        <w:rPr>
          <w:sz w:val="28"/>
          <w:szCs w:val="28"/>
        </w:rPr>
        <w:t xml:space="preserve">49 508,6</w:t>
      </w:r>
      <w:r>
        <w:rPr>
          <w:sz w:val="28"/>
          <w:szCs w:val="28"/>
        </w:rPr>
        <w:t xml:space="preserve"> млн рублей</w:t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TimesNewRomanPSMT"/>
          <w:sz w:val="28"/>
          <w:szCs w:val="28"/>
          <w:lang w:eastAsia="en-US"/>
        </w:rPr>
      </w:pPr>
      <w:r>
        <w:rPr>
          <w:rFonts w:eastAsia="TimesNewRomanPS-ItalicMT"/>
          <w:iCs/>
          <w:sz w:val="28"/>
          <w:szCs w:val="28"/>
          <w:lang w:eastAsia="en-US"/>
        </w:rPr>
        <w:t xml:space="preserve">Стоимость условного (минимального) набора продуктов питания в</w:t>
      </w:r>
      <w:r>
        <w:rPr>
          <w:rFonts w:eastAsia="TimesNewRomanPS-ItalicMT"/>
          <w:iCs/>
          <w:sz w:val="28"/>
          <w:szCs w:val="28"/>
          <w:lang w:eastAsia="en-US"/>
        </w:rPr>
        <w:t xml:space="preserve"> </w:t>
      </w:r>
      <w:r>
        <w:rPr>
          <w:rFonts w:eastAsia="TimesNewRomanPS-ItalicMT"/>
          <w:iCs/>
          <w:sz w:val="28"/>
          <w:szCs w:val="28"/>
          <w:lang w:eastAsia="en-US"/>
        </w:rPr>
        <w:t xml:space="preserve">среднем </w:t>
      </w:r>
      <w:r>
        <w:rPr>
          <w:rFonts w:eastAsia="TimesNewRomanPSMT"/>
          <w:sz w:val="28"/>
          <w:szCs w:val="28"/>
          <w:lang w:eastAsia="en-US"/>
        </w:rPr>
        <w:t xml:space="preserve">по округу в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 xml:space="preserve">конце </w:t>
      </w:r>
      <w:r>
        <w:rPr>
          <w:rFonts w:eastAsia="TimesNewRomanPSMT"/>
          <w:sz w:val="28"/>
          <w:szCs w:val="28"/>
          <w:lang w:eastAsia="en-US"/>
        </w:rPr>
        <w:t xml:space="preserve">марта </w:t>
      </w:r>
      <w:r>
        <w:rPr>
          <w:rFonts w:eastAsia="TimesNewRomanPSMT"/>
          <w:sz w:val="28"/>
          <w:szCs w:val="28"/>
          <w:lang w:eastAsia="en-US"/>
        </w:rPr>
        <w:t xml:space="preserve">202</w:t>
      </w:r>
      <w:r>
        <w:rPr>
          <w:rFonts w:eastAsia="TimesNewRomanPSMT"/>
          <w:sz w:val="28"/>
          <w:szCs w:val="28"/>
          <w:lang w:eastAsia="en-US"/>
        </w:rPr>
        <w:t xml:space="preserve">6</w:t>
      </w:r>
      <w:r>
        <w:rPr>
          <w:rFonts w:eastAsia="TimesNewRomanPSMT"/>
          <w:sz w:val="28"/>
          <w:szCs w:val="28"/>
          <w:lang w:eastAsia="en-US"/>
        </w:rPr>
        <w:t xml:space="preserve"> года составила </w:t>
      </w:r>
      <w:r>
        <w:rPr>
          <w:rFonts w:eastAsia="TimesNewRomanPSMT"/>
          <w:sz w:val="28"/>
          <w:szCs w:val="28"/>
          <w:lang w:eastAsia="en-US"/>
        </w:rPr>
        <w:t xml:space="preserve">19 784,4 </w:t>
      </w:r>
      <w:r>
        <w:rPr>
          <w:rFonts w:eastAsia="TimesNewRomanPSMT"/>
          <w:sz w:val="28"/>
          <w:szCs w:val="28"/>
          <w:lang w:eastAsia="en-US"/>
        </w:rPr>
        <w:t xml:space="preserve">рубл</w:t>
      </w:r>
      <w:r>
        <w:rPr>
          <w:rFonts w:eastAsia="TimesNewRomanPSMT"/>
          <w:sz w:val="28"/>
          <w:szCs w:val="28"/>
          <w:lang w:eastAsia="en-US"/>
        </w:rPr>
        <w:t xml:space="preserve">я</w:t>
      </w:r>
      <w:r>
        <w:rPr>
          <w:rFonts w:eastAsia="TimesNewRomanPSMT"/>
          <w:sz w:val="28"/>
          <w:szCs w:val="28"/>
          <w:lang w:eastAsia="en-US"/>
        </w:rPr>
        <w:t xml:space="preserve">.</w:t>
      </w:r>
      <w:r>
        <w:rPr>
          <w:rFonts w:eastAsia="TimesNewRomanPSMT"/>
          <w:sz w:val="28"/>
          <w:szCs w:val="28"/>
          <w:lang w:eastAsia="en-US"/>
        </w:rPr>
      </w:r>
      <w:r>
        <w:rPr>
          <w:rFonts w:eastAsia="TimesNewRomanPSMT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/>
          <w:sz w:val="28"/>
          <w:szCs w:val="28"/>
          <w:lang w:eastAsia="ar-SA"/>
        </w:rPr>
      </w:pPr>
      <w:r>
        <w:rPr>
          <w:rFonts w:eastAsia="DejaVu Sans"/>
          <w:sz w:val="28"/>
          <w:szCs w:val="28"/>
          <w:lang w:eastAsia="ar-SA"/>
        </w:rPr>
        <w:t xml:space="preserve">Инфляция в Чукотском автономном округе </w:t>
      </w:r>
      <w:r>
        <w:rPr>
          <w:rFonts w:eastAsia="DejaVu Sans"/>
          <w:sz w:val="28"/>
          <w:szCs w:val="28"/>
          <w:lang w:eastAsia="ar-SA"/>
        </w:rPr>
        <w:t xml:space="preserve">ускорилась </w:t>
      </w:r>
      <w:r>
        <w:rPr>
          <w:rFonts w:eastAsia="DejaVu Sans"/>
          <w:sz w:val="28"/>
          <w:szCs w:val="28"/>
          <w:lang w:eastAsia="ar-SA"/>
        </w:rPr>
        <w:t xml:space="preserve">и в </w:t>
      </w:r>
      <w:r>
        <w:rPr>
          <w:rFonts w:eastAsia="DejaVu Sans"/>
          <w:sz w:val="28"/>
          <w:szCs w:val="28"/>
          <w:lang w:eastAsia="ar-SA"/>
        </w:rPr>
        <w:t xml:space="preserve">марте </w:t>
      </w:r>
      <w:r>
        <w:rPr>
          <w:rFonts w:eastAsia="DejaVu Sans"/>
          <w:sz w:val="28"/>
          <w:szCs w:val="28"/>
          <w:lang w:eastAsia="ar-SA"/>
        </w:rPr>
        <w:t xml:space="preserve">202</w:t>
      </w:r>
      <w:r>
        <w:rPr>
          <w:rFonts w:eastAsia="DejaVu Sans"/>
          <w:sz w:val="28"/>
          <w:szCs w:val="28"/>
          <w:lang w:eastAsia="ar-SA"/>
        </w:rPr>
        <w:t xml:space="preserve">6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года составила </w:t>
      </w:r>
      <w:r>
        <w:rPr>
          <w:rFonts w:eastAsia="DejaVu Sans"/>
          <w:sz w:val="28"/>
          <w:szCs w:val="28"/>
          <w:lang w:eastAsia="ar-SA"/>
        </w:rPr>
        <w:t xml:space="preserve">3,95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%</w:t>
      </w:r>
      <w:r>
        <w:rPr>
          <w:rFonts w:eastAsia="DejaVu Sans"/>
          <w:sz w:val="28"/>
          <w:szCs w:val="28"/>
          <w:lang w:eastAsia="ar-SA"/>
        </w:rPr>
        <w:t xml:space="preserve">, что ни</w:t>
      </w:r>
      <w:r>
        <w:rPr>
          <w:rFonts w:eastAsia="DejaVu Sans"/>
          <w:sz w:val="28"/>
          <w:szCs w:val="28"/>
          <w:lang w:eastAsia="ar-SA"/>
        </w:rPr>
        <w:t xml:space="preserve">же значени</w:t>
      </w:r>
      <w:r>
        <w:rPr>
          <w:rFonts w:eastAsia="DejaVu Sans"/>
          <w:sz w:val="28"/>
          <w:szCs w:val="28"/>
          <w:lang w:eastAsia="ar-SA"/>
        </w:rPr>
        <w:t xml:space="preserve">й</w:t>
      </w:r>
      <w:r>
        <w:rPr>
          <w:rFonts w:eastAsia="DejaVu Sans"/>
          <w:sz w:val="28"/>
          <w:szCs w:val="28"/>
          <w:lang w:eastAsia="ar-SA"/>
        </w:rPr>
        <w:t xml:space="preserve"> по Дальневосточному федеральному округу (</w:t>
      </w:r>
      <w:r>
        <w:rPr>
          <w:rFonts w:eastAsia="DejaVu Sans"/>
          <w:sz w:val="28"/>
          <w:szCs w:val="28"/>
          <w:lang w:eastAsia="ar-SA"/>
        </w:rPr>
        <w:t xml:space="preserve">6,78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%) и по стране в целом (</w:t>
      </w:r>
      <w:r>
        <w:rPr>
          <w:rFonts w:eastAsia="DejaVu Sans"/>
          <w:sz w:val="28"/>
          <w:szCs w:val="28"/>
          <w:lang w:eastAsia="ar-SA"/>
        </w:rPr>
        <w:t xml:space="preserve">5,86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%). </w:t>
      </w:r>
      <w:r>
        <w:rPr>
          <w:rFonts w:eastAsia="DejaVu Sans"/>
          <w:sz w:val="28"/>
          <w:szCs w:val="28"/>
          <w:lang w:eastAsia="ar-SA"/>
        </w:rPr>
      </w:r>
      <w:r>
        <w:rPr>
          <w:rFonts w:eastAsia="DejaVu Sans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  <w:lang w:val="en-US"/>
        </w:rPr>
        <w:t xml:space="preserve"> </w:t>
      </w:r>
      <w:r>
        <w:rPr>
          <w:rFonts w:eastAsia="Calibri"/>
          <w:sz w:val="28"/>
          <w:szCs w:val="28"/>
          <w:lang w:eastAsia="en-US"/>
        </w:rPr>
        <w:t xml:space="preserve">Окружной бюджет за </w:t>
      </w:r>
      <w:r>
        <w:rPr>
          <w:rFonts w:eastAsia="Calibri"/>
          <w:sz w:val="28"/>
          <w:szCs w:val="28"/>
          <w:lang w:eastAsia="en-US"/>
        </w:rPr>
        <w:t xml:space="preserve">3</w:t>
      </w:r>
      <w:r>
        <w:rPr>
          <w:rFonts w:eastAsia="Calibri"/>
          <w:sz w:val="28"/>
          <w:szCs w:val="28"/>
          <w:lang w:eastAsia="en-US"/>
        </w:rPr>
        <w:t xml:space="preserve"> месяц</w:t>
      </w:r>
      <w:r>
        <w:rPr>
          <w:rFonts w:eastAsia="Calibri"/>
          <w:sz w:val="28"/>
          <w:szCs w:val="28"/>
          <w:lang w:eastAsia="en-US"/>
        </w:rPr>
        <w:t xml:space="preserve">а</w:t>
      </w:r>
      <w:r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 xml:space="preserve">6</w:t>
      </w:r>
      <w:r>
        <w:rPr>
          <w:rFonts w:eastAsia="Calibri"/>
          <w:sz w:val="28"/>
          <w:szCs w:val="28"/>
          <w:lang w:eastAsia="en-US"/>
        </w:rPr>
        <w:t xml:space="preserve"> года исполнен: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 по доходам – </w:t>
      </w:r>
      <w:r>
        <w:rPr>
          <w:rFonts w:eastAsia="Calibri"/>
          <w:sz w:val="28"/>
          <w:szCs w:val="28"/>
          <w:lang w:eastAsia="en-US"/>
        </w:rPr>
        <w:t xml:space="preserve">19 112 476,3</w:t>
      </w:r>
      <w:r>
        <w:rPr>
          <w:sz w:val="28"/>
          <w:szCs w:val="28"/>
        </w:rPr>
        <w:t xml:space="preserve"> тыс. рублей или </w:t>
      </w:r>
      <w:r>
        <w:rPr>
          <w:sz w:val="28"/>
          <w:szCs w:val="28"/>
        </w:rPr>
        <w:t xml:space="preserve">31,4 </w:t>
      </w:r>
      <w:r>
        <w:rPr>
          <w:sz w:val="28"/>
          <w:szCs w:val="28"/>
        </w:rPr>
        <w:t xml:space="preserve">% плана (</w:t>
      </w:r>
      <w:r>
        <w:rPr>
          <w:sz w:val="28"/>
          <w:szCs w:val="28"/>
        </w:rPr>
        <w:t xml:space="preserve">60 869 037,2 </w:t>
      </w:r>
      <w:r>
        <w:rPr>
          <w:sz w:val="28"/>
          <w:szCs w:val="28"/>
        </w:rPr>
        <w:t xml:space="preserve">тыс. рублей)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  <w:highlight w:val="yellow"/>
        </w:rPr>
      </w:pPr>
      <w:r>
        <w:rPr>
          <w:rFonts w:eastAsia="Calibri"/>
          <w:sz w:val="28"/>
          <w:szCs w:val="28"/>
          <w:lang w:eastAsia="en-US"/>
        </w:rPr>
        <w:t xml:space="preserve">- по расходам – </w:t>
      </w:r>
      <w:r>
        <w:rPr>
          <w:rFonts w:eastAsia="Calibri"/>
          <w:sz w:val="28"/>
          <w:szCs w:val="28"/>
          <w:lang w:eastAsia="en-US"/>
        </w:rPr>
        <w:t xml:space="preserve">17 146 079,7</w:t>
      </w:r>
      <w:r>
        <w:rPr>
          <w:sz w:val="28"/>
          <w:szCs w:val="28"/>
        </w:rPr>
        <w:t xml:space="preserve"> тыс. рублей или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6,8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% бюджетных ассигнований, утвержденных Законом об окружном бюджете (</w:t>
      </w:r>
      <w:r>
        <w:rPr>
          <w:sz w:val="28"/>
          <w:szCs w:val="28"/>
        </w:rPr>
        <w:t xml:space="preserve">64 087 734,3 </w:t>
      </w:r>
      <w:r>
        <w:rPr>
          <w:sz w:val="28"/>
          <w:szCs w:val="28"/>
        </w:rPr>
        <w:t xml:space="preserve">тыс. рублей), или </w:t>
      </w:r>
      <w:r>
        <w:rPr>
          <w:sz w:val="28"/>
          <w:szCs w:val="28"/>
        </w:rPr>
        <w:t xml:space="preserve">25,1 </w:t>
      </w:r>
      <w:r>
        <w:rPr>
          <w:sz w:val="28"/>
          <w:szCs w:val="28"/>
        </w:rPr>
        <w:t xml:space="preserve">% ассигнований, утвержденных сводной бюджетной росписью (</w:t>
      </w:r>
      <w:r>
        <w:rPr>
          <w:sz w:val="28"/>
          <w:szCs w:val="28"/>
        </w:rPr>
        <w:t xml:space="preserve">68 429 374,5</w:t>
      </w:r>
      <w:r>
        <w:rPr>
          <w:sz w:val="28"/>
          <w:szCs w:val="28"/>
        </w:rPr>
        <w:t xml:space="preserve"> тыс. рублей)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eastAsia="DejaVu Sans"/>
          <w:sz w:val="28"/>
          <w:szCs w:val="28"/>
          <w:lang w:eastAsia="ar-SA"/>
        </w:rPr>
      </w:pPr>
      <w:r>
        <w:rPr>
          <w:rFonts w:eastAsia="Calibri"/>
          <w:bCs/>
          <w:sz w:val="28"/>
          <w:szCs w:val="28"/>
          <w:lang w:eastAsia="en-US"/>
        </w:rPr>
        <w:t xml:space="preserve">- с профицитом </w:t>
      </w:r>
      <w:r>
        <w:rPr>
          <w:rFonts w:eastAsia="DejaVu Sans"/>
          <w:sz w:val="28"/>
          <w:szCs w:val="28"/>
          <w:lang w:eastAsia="ar-SA"/>
        </w:rPr>
        <w:t xml:space="preserve">в размере</w:t>
      </w:r>
      <w:r>
        <w:rPr>
          <w:rFonts w:eastAsia="DejaVu Sans"/>
          <w:sz w:val="28"/>
          <w:szCs w:val="28"/>
          <w:lang w:eastAsia="ar-SA"/>
        </w:rPr>
        <w:t xml:space="preserve"> 1 966 396,6</w:t>
      </w:r>
      <w:r>
        <w:rPr>
          <w:rFonts w:eastAsia="DejaVu Sans"/>
          <w:sz w:val="28"/>
          <w:szCs w:val="28"/>
          <w:lang w:eastAsia="ar-SA"/>
        </w:rPr>
        <w:t xml:space="preserve"> тыс. рублей.</w:t>
      </w:r>
      <w:r>
        <w:rPr>
          <w:rFonts w:eastAsia="DejaVu Sans"/>
          <w:sz w:val="28"/>
          <w:szCs w:val="28"/>
          <w:lang w:eastAsia="ar-SA"/>
        </w:rPr>
      </w:r>
      <w:r>
        <w:rPr>
          <w:rFonts w:eastAsia="DejaVu Sans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 Исполнение по налоговым и неналоговым доходам составило </w:t>
      </w:r>
      <w:r>
        <w:rPr>
          <w:sz w:val="28"/>
          <w:szCs w:val="28"/>
        </w:rPr>
        <w:t xml:space="preserve">12 186 284,7</w:t>
      </w:r>
      <w:r>
        <w:rPr>
          <w:sz w:val="28"/>
          <w:szCs w:val="28"/>
        </w:rPr>
        <w:t xml:space="preserve"> тыс. рублей или </w:t>
      </w:r>
      <w:r>
        <w:rPr>
          <w:sz w:val="28"/>
          <w:szCs w:val="28"/>
        </w:rPr>
        <w:t xml:space="preserve">33,1 </w:t>
      </w:r>
      <w:r>
        <w:rPr>
          <w:sz w:val="28"/>
          <w:szCs w:val="28"/>
        </w:rPr>
        <w:t xml:space="preserve">% утвержденного плана, безвозмездные поступления – </w:t>
      </w:r>
      <w:r>
        <w:rPr>
          <w:sz w:val="28"/>
          <w:szCs w:val="28"/>
        </w:rPr>
        <w:t xml:space="preserve">6 926 191,6 </w:t>
      </w:r>
      <w:r>
        <w:rPr>
          <w:sz w:val="28"/>
          <w:szCs w:val="28"/>
        </w:rPr>
        <w:t xml:space="preserve">тыс. рублей или </w:t>
      </w:r>
      <w:r>
        <w:rPr>
          <w:sz w:val="28"/>
          <w:szCs w:val="28"/>
        </w:rPr>
        <w:t xml:space="preserve">28,8 </w:t>
      </w:r>
      <w:r>
        <w:rPr>
          <w:sz w:val="28"/>
          <w:szCs w:val="28"/>
        </w:rPr>
        <w:t xml:space="preserve">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/>
          <w:sz w:val="28"/>
          <w:szCs w:val="28"/>
          <w:lang w:eastAsia="ar-SA"/>
        </w:rPr>
      </w:pPr>
      <w:r>
        <w:rPr>
          <w:rFonts w:eastAsia="DejaVu Sans"/>
          <w:sz w:val="28"/>
          <w:szCs w:val="28"/>
          <w:lang w:eastAsia="ar-SA"/>
        </w:rPr>
        <w:t xml:space="preserve">4. Финансирование мероприятий государственных программ Чукотского автономного округа за отчетный период составило </w:t>
      </w:r>
      <w:r>
        <w:rPr>
          <w:rFonts w:eastAsia="DejaVu Sans"/>
          <w:sz w:val="28"/>
          <w:szCs w:val="28"/>
          <w:lang w:eastAsia="ar-SA"/>
        </w:rPr>
        <w:t xml:space="preserve">16 237 631,2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тыс. рублей (</w:t>
      </w:r>
      <w:r>
        <w:rPr>
          <w:rFonts w:eastAsia="DejaVu Sans"/>
          <w:sz w:val="28"/>
          <w:szCs w:val="28"/>
          <w:lang w:eastAsia="ar-SA"/>
        </w:rPr>
        <w:t xml:space="preserve">25,5 % </w:t>
      </w:r>
      <w:r>
        <w:rPr>
          <w:rFonts w:eastAsia="DejaVu Sans"/>
          <w:sz w:val="28"/>
          <w:szCs w:val="28"/>
          <w:lang w:eastAsia="ar-SA"/>
        </w:rPr>
        <w:t xml:space="preserve">уточненных назначений). Доля в общем объеме исполненных расходов </w:t>
      </w:r>
      <w:bookmarkStart w:id="0" w:name="undefined"/>
      <w:r>
        <w:rPr>
          <w:rFonts w:eastAsia="DejaVu Sans"/>
          <w:sz w:val="28"/>
          <w:szCs w:val="28"/>
          <w:lang w:eastAsia="ar-SA"/>
        </w:rPr>
        <w:t xml:space="preserve">–</w:t>
      </w:r>
      <w:bookmarkEnd w:id="0"/>
      <w:r>
        <w:rPr>
          <w:rFonts w:eastAsia="DejaVu Sans"/>
          <w:sz w:val="28"/>
          <w:szCs w:val="28"/>
          <w:lang w:eastAsia="ar-SA"/>
        </w:rPr>
        <w:t xml:space="preserve"> 94,</w:t>
      </w:r>
      <w:r>
        <w:rPr>
          <w:rFonts w:eastAsia="DejaVu Sans"/>
          <w:sz w:val="28"/>
          <w:szCs w:val="28"/>
          <w:lang w:eastAsia="ar-SA"/>
        </w:rPr>
        <w:t xml:space="preserve">7 </w:t>
      </w:r>
      <w:r>
        <w:rPr>
          <w:rFonts w:eastAsia="DejaVu Sans"/>
          <w:sz w:val="28"/>
          <w:szCs w:val="28"/>
          <w:lang w:eastAsia="ar-SA"/>
        </w:rPr>
        <w:t xml:space="preserve">%. Наибольший удельный вес в структуре расходов составляют мероприятия Государственной программы </w:t>
      </w:r>
      <w:r>
        <w:rPr>
          <w:rFonts w:eastAsia="DejaVu Sans"/>
          <w:sz w:val="28"/>
          <w:szCs w:val="28"/>
          <w:lang w:eastAsia="ar-SA"/>
        </w:rPr>
        <w:t xml:space="preserve">«</w:t>
      </w:r>
      <w:r>
        <w:rPr>
          <w:rFonts w:eastAsia="DejaVu Sans"/>
          <w:sz w:val="28"/>
          <w:szCs w:val="28"/>
          <w:lang w:eastAsia="ar-SA"/>
        </w:rPr>
        <w:t xml:space="preserve">Развитие жилищно-коммунального хозяйства и водохозяйственного комплекса Чукотского автономного округа</w:t>
      </w:r>
      <w:r>
        <w:rPr>
          <w:rFonts w:eastAsia="DejaVu Sans"/>
          <w:sz w:val="28"/>
          <w:szCs w:val="28"/>
          <w:lang w:eastAsia="ar-SA"/>
        </w:rPr>
        <w:t xml:space="preserve">»</w:t>
      </w:r>
      <w:r>
        <w:rPr>
          <w:rFonts w:eastAsia="DejaVu Sans"/>
          <w:sz w:val="28"/>
          <w:szCs w:val="28"/>
          <w:lang w:eastAsia="ar-SA"/>
        </w:rPr>
        <w:t xml:space="preserve"> – </w:t>
      </w:r>
      <w:r>
        <w:rPr>
          <w:rFonts w:eastAsia="DejaVu Sans"/>
          <w:sz w:val="28"/>
          <w:szCs w:val="28"/>
          <w:lang w:eastAsia="ar-SA"/>
        </w:rPr>
        <w:t xml:space="preserve">39,9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% (</w:t>
      </w:r>
      <w:r>
        <w:rPr>
          <w:rFonts w:eastAsia="DejaVu Sans"/>
          <w:sz w:val="28"/>
          <w:szCs w:val="28"/>
          <w:lang w:eastAsia="ar-SA"/>
        </w:rPr>
        <w:t xml:space="preserve">6 847 809,4</w:t>
      </w:r>
      <w:r>
        <w:rPr>
          <w:rFonts w:eastAsia="DejaVu Sans"/>
          <w:sz w:val="28"/>
          <w:szCs w:val="28"/>
          <w:lang w:eastAsia="ar-SA"/>
        </w:rPr>
        <w:t xml:space="preserve"> </w:t>
      </w:r>
      <w:r>
        <w:rPr>
          <w:rFonts w:eastAsia="DejaVu Sans"/>
          <w:sz w:val="28"/>
          <w:szCs w:val="28"/>
          <w:lang w:eastAsia="ar-SA"/>
        </w:rPr>
        <w:t xml:space="preserve">тыс. рублей).</w:t>
      </w:r>
      <w:r>
        <w:rPr>
          <w:rFonts w:eastAsia="DejaVu Sans"/>
          <w:sz w:val="28"/>
          <w:szCs w:val="28"/>
          <w:lang w:eastAsia="ar-SA"/>
        </w:rPr>
      </w:r>
      <w:r>
        <w:rPr>
          <w:rFonts w:eastAsia="DejaVu Sans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/>
          <w:sz w:val="28"/>
          <w:szCs w:val="28"/>
          <w:lang w:eastAsia="ar-SA"/>
        </w:rPr>
      </w:pPr>
      <w:r>
        <w:rPr>
          <w:rFonts w:eastAsia="DejaVu Sans"/>
          <w:sz w:val="28"/>
          <w:szCs w:val="28"/>
          <w:lang w:eastAsia="ar-SA"/>
        </w:rPr>
        <w:t xml:space="preserve">5. </w:t>
      </w:r>
      <w:r>
        <w:rPr>
          <w:rFonts w:eastAsia="Calibri"/>
          <w:sz w:val="28"/>
          <w:szCs w:val="28"/>
          <w:lang w:eastAsia="en-US"/>
        </w:rPr>
        <w:t xml:space="preserve">Финансирование мероприятий непрограммных направлений деятельности составило </w:t>
      </w:r>
      <w:r>
        <w:rPr>
          <w:rFonts w:eastAsia="Calibri"/>
          <w:sz w:val="28"/>
          <w:szCs w:val="28"/>
          <w:lang w:eastAsia="en-US"/>
        </w:rPr>
        <w:t xml:space="preserve">908 448,5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eastAsia="Calibri"/>
          <w:sz w:val="28"/>
          <w:szCs w:val="28"/>
          <w:lang w:eastAsia="en-US"/>
        </w:rPr>
        <w:t xml:space="preserve">тыс.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рублей или </w:t>
      </w:r>
      <w:r>
        <w:rPr>
          <w:rFonts w:eastAsia="Calibri"/>
          <w:sz w:val="28"/>
          <w:szCs w:val="28"/>
          <w:lang w:eastAsia="en-US"/>
        </w:rPr>
        <w:t xml:space="preserve">19,1 </w:t>
      </w:r>
      <w:r>
        <w:rPr>
          <w:rFonts w:eastAsia="Calibri"/>
          <w:sz w:val="28"/>
          <w:szCs w:val="28"/>
          <w:lang w:eastAsia="en-US"/>
        </w:rPr>
        <w:t xml:space="preserve">% плановых назначений.</w:t>
      </w:r>
      <w:r>
        <w:rPr>
          <w:rFonts w:eastAsia="DejaVu Sans"/>
          <w:sz w:val="28"/>
          <w:szCs w:val="28"/>
          <w:lang w:eastAsia="ar-SA"/>
        </w:rPr>
        <w:t xml:space="preserve"> </w:t>
      </w:r>
      <w:r>
        <w:rPr>
          <w:rFonts w:eastAsia="DejaVu Sans"/>
          <w:sz w:val="28"/>
          <w:szCs w:val="28"/>
          <w:lang w:eastAsia="ar-SA"/>
        </w:rPr>
      </w:r>
      <w:r>
        <w:rPr>
          <w:rFonts w:eastAsia="DejaVu Sans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6. </w:t>
      </w:r>
      <w:r>
        <w:rPr>
          <w:sz w:val="28"/>
          <w:szCs w:val="28"/>
        </w:rPr>
        <w:t xml:space="preserve">Средства Резервного фонда Правительства Чукотского автономного округа распределены между главными распорядителями средств окружного бюджета в сумме </w:t>
      </w:r>
      <w:r>
        <w:rPr>
          <w:sz w:val="28"/>
          <w:szCs w:val="28"/>
        </w:rPr>
        <w:t xml:space="preserve">36 651,9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рублей, профинансировано </w:t>
      </w:r>
      <w:r>
        <w:rPr>
          <w:sz w:val="28"/>
          <w:szCs w:val="28"/>
        </w:rPr>
        <w:t xml:space="preserve">5 479,3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тыс. рублей или </w:t>
      </w:r>
      <w:r>
        <w:rPr>
          <w:sz w:val="28"/>
          <w:szCs w:val="28"/>
        </w:rPr>
        <w:t xml:space="preserve">14,9 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 w:val="off"/>
        <w:rPr>
          <w:rFonts w:eastAsia="DejaVu Sans"/>
          <w:sz w:val="28"/>
          <w:szCs w:val="28"/>
          <w:lang w:eastAsia="ar-SA"/>
        </w:rPr>
      </w:pPr>
      <w:r>
        <w:rPr>
          <w:rFonts w:eastAsia="DejaVu Sans"/>
          <w:sz w:val="28"/>
          <w:szCs w:val="28"/>
          <w:lang w:eastAsia="ar-SA"/>
        </w:rPr>
        <w:t xml:space="preserve">7</w:t>
      </w:r>
      <w:r>
        <w:rPr>
          <w:rFonts w:eastAsia="DejaVu Sans"/>
          <w:sz w:val="28"/>
          <w:szCs w:val="28"/>
          <w:lang w:eastAsia="ar-SA"/>
        </w:rPr>
        <w:t xml:space="preserve">. Государственный долг Чукотского автономного округа на 1 </w:t>
      </w:r>
      <w:r>
        <w:rPr>
          <w:rFonts w:eastAsia="DejaVu Sans"/>
          <w:sz w:val="28"/>
          <w:szCs w:val="28"/>
          <w:lang w:eastAsia="ar-SA"/>
        </w:rPr>
        <w:t xml:space="preserve">апреля </w:t>
      </w:r>
      <w:r>
        <w:rPr>
          <w:rFonts w:eastAsia="DejaVu Sans"/>
          <w:sz w:val="28"/>
          <w:szCs w:val="28"/>
          <w:lang w:eastAsia="ar-SA"/>
        </w:rPr>
        <w:t xml:space="preserve">202</w:t>
      </w:r>
      <w:r>
        <w:rPr>
          <w:rFonts w:eastAsia="DejaVu Sans"/>
          <w:sz w:val="28"/>
          <w:szCs w:val="28"/>
          <w:lang w:eastAsia="ar-SA"/>
        </w:rPr>
        <w:t xml:space="preserve">6</w:t>
      </w:r>
      <w:r>
        <w:rPr>
          <w:rFonts w:eastAsia="DejaVu Sans"/>
          <w:sz w:val="28"/>
          <w:szCs w:val="28"/>
          <w:lang w:eastAsia="ar-SA"/>
        </w:rPr>
        <w:t xml:space="preserve"> года составил</w:t>
      </w:r>
      <w:r>
        <w:rPr>
          <w:rFonts w:eastAsia="DejaVu Sans"/>
          <w:sz w:val="28"/>
          <w:szCs w:val="28"/>
          <w:lang w:eastAsia="ar-SA"/>
        </w:rPr>
        <w:t xml:space="preserve"> </w:t>
      </w:r>
      <w:r>
        <w:rPr>
          <w:rFonts w:eastAsia="DejaVu Sans"/>
          <w:sz w:val="28"/>
          <w:szCs w:val="28"/>
          <w:lang w:eastAsia="ar-SA"/>
        </w:rPr>
        <w:t xml:space="preserve">22 078 130,2</w:t>
      </w:r>
      <w:r>
        <w:rPr>
          <w:rFonts w:eastAsia="DejaVu Sans"/>
          <w:sz w:val="28"/>
          <w:szCs w:val="28"/>
          <w:lang w:eastAsia="ar-SA"/>
        </w:rPr>
        <w:t xml:space="preserve"> тыс. рублей, из них </w:t>
      </w:r>
      <w:r>
        <w:rPr>
          <w:rFonts w:eastAsia="DejaVu Sans"/>
          <w:sz w:val="28"/>
          <w:szCs w:val="28"/>
          <w:lang w:eastAsia="ar-SA"/>
        </w:rPr>
        <w:t xml:space="preserve">10 993 747,5 тыс.</w:t>
      </w:r>
      <w:r>
        <w:rPr>
          <w:rFonts w:eastAsia="DejaVu Sans"/>
          <w:sz w:val="28"/>
          <w:szCs w:val="28"/>
          <w:lang w:eastAsia="ar-SA"/>
        </w:rPr>
        <w:t xml:space="preserve"> </w:t>
      </w:r>
      <w:r>
        <w:rPr>
          <w:rFonts w:eastAsia="DejaVu Sans"/>
          <w:sz w:val="28"/>
          <w:szCs w:val="28"/>
          <w:lang w:eastAsia="ar-SA"/>
        </w:rPr>
        <w:t xml:space="preserve">рублей – обязательства на обеспечение государственных гарантий, предоставленных Правительством Чукотского автономного округа.</w:t>
      </w:r>
      <w:r>
        <w:rPr>
          <w:rFonts w:eastAsia="DejaVu Sans"/>
          <w:sz w:val="28"/>
          <w:szCs w:val="28"/>
          <w:lang w:eastAsia="ar-SA"/>
        </w:rPr>
      </w:r>
      <w:r>
        <w:rPr>
          <w:rFonts w:eastAsia="DejaVu Sans"/>
          <w:sz w:val="28"/>
          <w:szCs w:val="28"/>
          <w:lang w:eastAsia="ar-SA"/>
        </w:rPr>
      </w:r>
    </w:p>
    <w:p>
      <w:pPr>
        <w:pStyle w:val="4378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4378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4378"/>
        <w:jc w:val="both"/>
        <w:spacing w:before="0" w:beforeAutospacing="0" w:after="0" w:afterAutospacing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Аудитор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4378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378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378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Счетной палаты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4378"/>
        <w:spacing w:before="0" w:beforeAutospacing="0" w:after="0" w:afterAutospacing="0" w:line="240" w:lineRule="auto"/>
        <w:rPr>
          <w:rFonts w:eastAsia="DejaVu Sans"/>
          <w:sz w:val="28"/>
          <w:szCs w:val="28"/>
          <w:lang w:eastAsia="ar-SA"/>
        </w:rPr>
      </w:pPr>
      <w:r>
        <w:rPr>
          <w:sz w:val="28"/>
          <w:szCs w:val="28"/>
        </w:rPr>
        <w:t xml:space="preserve">Чукотского автономного округа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И.В. Бондаренко</w:t>
      </w:r>
      <w:r>
        <w:rPr>
          <w:rFonts w:eastAsia="DejaVu Sans"/>
          <w:sz w:val="28"/>
          <w:szCs w:val="28"/>
          <w:lang w:eastAsia="ar-SA"/>
        </w:rPr>
      </w:r>
      <w:r>
        <w:rPr>
          <w:rFonts w:eastAsia="DejaVu Sans"/>
          <w:sz w:val="28"/>
          <w:szCs w:val="28"/>
          <w:lang w:eastAsia="ar-SA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ЗАКЛЮЧЕНИЕ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экспертно-аналитического мероприятия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«Мониторинг реализации на территории Чукотского автономного округа региональных проектов в рамках национальных проектов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57" w:right="57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состоянию на 1 мая 2026 года»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4415"/>
        <w:jc w:val="center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утвержден Коллегией Счетной палаты Чукотского автономного округа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4415"/>
        <w:jc w:val="center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(протокол от </w:t>
      </w:r>
      <w:r>
        <w:rPr>
          <w:rFonts w:ascii="Times New Roman" w:hAnsi="Times New Roman" w:cs="Times New Roman"/>
          <w:color w:val="000000" w:themeColor="text1"/>
        </w:rPr>
        <w:t xml:space="preserve">27</w:t>
      </w:r>
      <w:r>
        <w:rPr>
          <w:rFonts w:ascii="Times New Roman" w:hAnsi="Times New Roman" w:cs="Times New Roman"/>
          <w:color w:val="000000" w:themeColor="text1"/>
        </w:rPr>
        <w:t xml:space="preserve">  мая 2026 года №</w:t>
      </w:r>
      <w:r>
        <w:rPr>
          <w:rFonts w:ascii="Times New Roman" w:hAnsi="Times New Roman" w:cs="Times New Roman"/>
          <w:color w:val="000000" w:themeColor="text1"/>
        </w:rPr>
        <w:t xml:space="preserve"> 9</w:t>
      </w:r>
      <w:r>
        <w:rPr>
          <w:rFonts w:ascii="Times New Roman" w:hAnsi="Times New Roman" w:cs="Times New Roman"/>
          <w:color w:val="000000" w:themeColor="text1"/>
        </w:rPr>
        <w:t xml:space="preserve">)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left="57" w:right="57" w:firstLine="708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Основание для проведения экспертно-аналитического мероприятия: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ункт 2.10. Плана работы Счетной палаты Чукотского автономного округа на 2026 год, утвержденного решением Коллегии Счетной палаты (протокол от 26 декабря 2025 года №31).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Предмет экспертно-аналитического мероприятия: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исполнение окружного бюджета на реализацию региональных проектов в рамках национальных проектов.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 экспертно-аналитического мероприятия: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исполнения региональных проектов в рамках национальных проектов за январь-апрель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Вопросы: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/>
        <w:rPr>
          <w:b/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1.</w:t>
      </w:r>
      <w:r>
        <w:rPr>
          <w:color w:val="000000" w:themeColor="text1"/>
          <w:highlight w:val="white"/>
        </w:rPr>
        <w:t xml:space="preserve"> </w:t>
      </w:r>
      <w:r>
        <w:rPr>
          <w:color w:val="000000" w:themeColor="text1"/>
          <w:highlight w:val="white"/>
        </w:rPr>
        <w:t xml:space="preserve">Исполнение отдельных региональных проектов </w:t>
      </w:r>
      <w:r>
        <w:rPr>
          <w:rFonts w:eastAsia="Calibri"/>
          <w:color w:val="000000" w:themeColor="text1"/>
          <w:highlight w:val="white"/>
        </w:rPr>
        <w:t xml:space="preserve">в рамках национальных проектов </w:t>
      </w:r>
      <w:r>
        <w:rPr>
          <w:color w:val="000000" w:themeColor="text1"/>
          <w:highlight w:val="white"/>
        </w:rPr>
        <w:t xml:space="preserve">Чукотского автономного округа  за январь-апрель 2026 года.</w:t>
      </w:r>
      <w:r>
        <w:rPr>
          <w:b/>
          <w:color w:val="000000" w:themeColor="text1"/>
          <w:highlight w:val="white"/>
        </w:rPr>
      </w:r>
      <w:r>
        <w:rPr>
          <w:b/>
          <w:color w:val="000000" w:themeColor="text1"/>
          <w:highlight w:val="white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pStyle w:val="4482"/>
        <w:spacing w:before="0" w:beforeAutospacing="0" w:after="0" w:afterAutospacing="0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Объект </w:t>
      </w:r>
      <w:r>
        <w:rPr>
          <w:b/>
          <w:bCs/>
          <w:color w:val="000000" w:themeColor="text1"/>
        </w:rPr>
        <w:t xml:space="preserve">экспертно-аналитического мероприятия: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4482"/>
        <w:spacing w:before="0" w:beforeAutospacing="0" w:after="0" w:afterAutospacing="0"/>
        <w:rPr>
          <w:color w:val="000000" w:themeColor="text1"/>
        </w:rPr>
      </w:pPr>
      <w:r>
        <w:rPr>
          <w:bCs/>
          <w:color w:val="000000" w:themeColor="text1"/>
        </w:rPr>
        <w:t xml:space="preserve">Департамент финансов и имущественных отношений Чукотского автономного округа (далее – Департамент финансов).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/>
        <w:rPr>
          <w:color w:val="000000" w:themeColor="text1"/>
          <w:sz w:val="4"/>
          <w:szCs w:val="4"/>
        </w:rPr>
      </w:pPr>
      <w:r>
        <w:rPr>
          <w:color w:val="000000" w:themeColor="text1"/>
          <w:sz w:val="4"/>
          <w:szCs w:val="4"/>
        </w:rPr>
      </w:r>
      <w:r>
        <w:rPr>
          <w:color w:val="000000" w:themeColor="text1"/>
          <w:sz w:val="4"/>
          <w:szCs w:val="4"/>
        </w:rPr>
      </w:r>
      <w:r>
        <w:rPr>
          <w:color w:val="000000" w:themeColor="text1"/>
          <w:sz w:val="4"/>
          <w:szCs w:val="4"/>
        </w:rPr>
      </w:r>
    </w:p>
    <w:p>
      <w:pPr>
        <w:pStyle w:val="4482"/>
        <w:spacing w:before="0" w:beforeAutospacing="0" w:after="0" w:afterAutospacing="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Исследуемый период деятельности</w:t>
      </w:r>
      <w:r>
        <w:rPr>
          <w:bCs/>
          <w:color w:val="000000" w:themeColor="text1"/>
        </w:rPr>
        <w:t xml:space="preserve">: январь – апрель 2026 года.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Срок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проведения экспертно-аналитического мероприятия: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15 по 22 мая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данном заключении используются следующие сокращения: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Национальный проект – нацпроект, НП;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Региональный проект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регпроект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, РП;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57" w:right="57" w:firstLine="651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Сводная бюджетная роспись – СБР.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Экспертно-аналитическое мероприятие проведено Счетной палатой Чукотского автономного округа</w:t>
      </w:r>
      <w:r>
        <w:rPr>
          <w:rStyle w:val="4381"/>
          <w:rFonts w:ascii="Times New Roman" w:hAnsi="Times New Roman" w:cs="Times New Roman"/>
          <w:color w:val="000000" w:themeColor="text1"/>
          <w:sz w:val="28"/>
          <w:szCs w:val="28"/>
        </w:rPr>
        <w:footnoteReference w:id="195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полномочиями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внешнему государственному финансовому контролю, возложенными Законом Чукотского автономного округа от 30 июня 1998 года №36-ОЗ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Счетной палате Чукотского автономного округа», требованиями Федерального закона от 7 февраля 2011 года №6-ФЗ «Об общих принципах организации и деятельности контрольно-счетных органов субъектов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Федерации, федеральных территорий и муниципальных образований», в части обеспечения системного мониторинга и контроля реализации региональной составляющей национальных проектов.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Экспертно-аналитическое мероприятие проводилось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материалам, размещенным в официальных источниках информации (ГИИС «Электронный 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юджет» (далее – ГИИС)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и представленным Департаментом финансов отчетам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по  формам 0503117 «Отчет об исполнении бюджета» и 0503117-НП 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Отчет </w:t>
      </w:r>
      <w:hyperlink r:id="rId27" w:tooltip="consultantplus://offline/ref=CD2F3C369EE161F5D9D1FA557271FD5D9DADD6F0670E0A0C9A563D1E59EF33B7B8CD1E089D0145D2BB2AB33F30255FF7FA9E780FA35E677Fn1cFA" w:history="1">
        <w:r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(ф. 0503117)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содержащий данные по исполнению бюджета в ходе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экспертно-аналитического мероприятия установлено следующее.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651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  <w:r>
        <w:rPr>
          <w:rFonts w:ascii="Times New Roman" w:hAnsi="Times New Roman" w:cs="Times New Roman"/>
          <w:color w:val="000000" w:themeColor="text1"/>
          <w:sz w:val="4"/>
          <w:szCs w:val="4"/>
        </w:rPr>
      </w:r>
    </w:p>
    <w:p>
      <w:pPr>
        <w:pStyle w:val="448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В рамках проведения отдельных мероприятий национальных проектов, разработанных на федеральном уровне в соответствии с Указом Президента Российской Федерации от 7 мая 2024 года №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309 «О национальных целях Российской Федерации на период до 2030 года и на перспективу </w:t>
      </w:r>
      <w:r>
        <w:rPr>
          <w:color w:val="000000" w:themeColor="text1"/>
        </w:rPr>
        <w:t xml:space="preserve">до 2036 года», разработаны региональные проекты Чукотского автономного округа, мероприятия которых включены в государственные программы Чукотского автономного округа.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Региональный проект Чукотского автономного округа – проект, обеспечивающий достижение и (или) вклад в достижение целей и (или) </w:t>
      </w:r>
      <w:r>
        <w:rPr>
          <w:color w:val="000000" w:themeColor="text1"/>
        </w:rPr>
        <w:t xml:space="preserve">показателей и реализацию мероприятий (результатов) федерального проекта, входящего в состав национального проекта, и (или) структурных элементов государственной программы Российской Федерации, и (или) государственной программы субъекта Российской Федерации</w:t>
      </w:r>
      <w:r>
        <w:rPr>
          <w:rStyle w:val="4381"/>
          <w:color w:val="000000" w:themeColor="text1"/>
        </w:rPr>
        <w:footnoteReference w:id="196"/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Организацию проектной деятельности в Чукотском автономном округе                    и межведомс</w:t>
      </w:r>
      <w:r>
        <w:rPr>
          <w:color w:val="000000" w:themeColor="text1"/>
        </w:rPr>
        <w:t xml:space="preserve">твенное взаимодействие в процессе подготовки, реализации (включая мониторинг и внесение изменений в проекты) и завершение реализации региональных проектов осуществляет отдельное структурное подразделение органа исполнительной власти Чукотского автономного </w:t>
      </w:r>
      <w:r>
        <w:rPr>
          <w:color w:val="000000" w:themeColor="text1"/>
        </w:rPr>
        <w:t xml:space="preserve">округа – Проектный офис, функции  которого осуществляет </w:t>
      </w:r>
      <w:r>
        <w:rPr>
          <w:bCs/>
          <w:color w:val="000000" w:themeColor="text1"/>
        </w:rPr>
        <w:t xml:space="preserve">Департамент экономики и инвестиций Чукотского автономного округа</w:t>
      </w:r>
      <w:r>
        <w:rPr>
          <w:color w:val="000000" w:themeColor="text1"/>
        </w:rPr>
        <w:t xml:space="preserve">. Деятельность Проектного офиса регулируется Постановлением №286. 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448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Чукотский автономный округ принимает участие </w:t>
      </w:r>
      <w:r>
        <w:rPr>
          <w:color w:val="000000" w:themeColor="text1"/>
        </w:rPr>
        <w:t xml:space="preserve">в 12 из 19 национальных проектов («Продолжительная и активная жизнь», «Технологическое обеспечение продовольственной безопасности», «Инфраструктура для жизни», «Кадры», «Туризм и гостеприимство», </w:t>
      </w:r>
      <w:r>
        <w:rPr>
          <w:color w:val="000000" w:themeColor="text1"/>
        </w:rPr>
        <w:t xml:space="preserve">«Экономика данных и цифровая трансформация государства», «Экологическое благополучие», «Эффективная и конкурентная экономика», «Молодежь и дети», «Семья», «Международная кооперация и экспорт», «Беспилотные авиационные системы»).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Чукотском автономном округе разработаны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офисом 40 региональных проектов в ГИИС, из них региональный проект «Стимулирование спроса на отечественные беспилотные авиационные системы в Чукотском автономном округе», переходящий с 2024 года в рамках реализации НП «Беспилотные авиационные системы».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региональных проектов в рамках национальных проектов в Чукотском автономном округе предусмотрена на период 2024-2030 годов с объемом финансовых ресурсов в сумме 26 834,7 млн рублей, из 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2026 год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7 377,7 млн рублей (таблица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 №1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7230" w:right="57" w:firstLine="141"/>
        <w:jc w:val="right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(млн рублей)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tbl>
      <w:tblPr>
        <w:tblStyle w:val="4391"/>
        <w:tblW w:w="0" w:type="auto"/>
        <w:tblInd w:w="-133" w:type="dxa"/>
        <w:tblLayout w:type="fixed"/>
        <w:tblLook w:val="04A0" w:firstRow="1" w:lastRow="0" w:firstColumn="1" w:lastColumn="0" w:noHBand="0" w:noVBand="1"/>
      </w:tblPr>
      <w:tblGrid>
        <w:gridCol w:w="2756"/>
        <w:gridCol w:w="1060"/>
        <w:gridCol w:w="829"/>
        <w:gridCol w:w="971"/>
        <w:gridCol w:w="1060"/>
        <w:gridCol w:w="1252"/>
        <w:gridCol w:w="1134"/>
        <w:gridCol w:w="992"/>
      </w:tblGrid>
      <w:tr>
        <w:tblPrEx/>
        <w:trPr>
          <w:trHeight w:val="209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Наименование национального проекта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Утверждено Паспортом 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r>
          </w:p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2024-2030 годы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из них: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Ут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верждено Законом №95-ОЗ</w:t>
            </w:r>
            <w:r>
              <w:rPr>
                <w:color w:val="000000" w:themeColor="text1"/>
                <w:highlight w:val="yellow"/>
              </w:rPr>
            </w:r>
            <w:r>
              <w:rPr>
                <w:color w:val="000000" w:themeColor="text1"/>
                <w:highlight w:val="yellow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4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По состоянию на 01.05.2026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испол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-нения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, гр.5/гр.3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2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на 2026 год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Утверждено СБР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Поступило из ФБ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Кассовый расход     (ФБ + ОБ)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19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59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Продолжительная и активная жизнь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5 219,7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1 054,4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1 108,7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1 144,3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119,6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204,0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17,8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2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Технологическое обеспечение продовольственной безопасности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29,4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14,1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15,6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14,1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Инфраструктура для жизни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14 768,0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4 849,2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4 849,2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4 849,2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612,5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645,5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13,3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Кадры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251,3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116,3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116,3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116,3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3,9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Туризм и гостеприимство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90,9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30,3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30,3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30,3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Экономика данных и цифровая трансформация государства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58,7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5,2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5,2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5,2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Экологическое благополучие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73,8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67,4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67,4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67,4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1,9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1,9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Эффективная и конкурентная экономика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24,7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100,0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Молодежь и дети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1 849,8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281,4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279,3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281,4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95,0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95,0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33,8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Семья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4 463,3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955,3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885,3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955,3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307,1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439,7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46,0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Международная кооперация и экспорт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center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Беспилотные авиационные системы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5,1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56" w:type="dxa"/>
            <w:vAlign w:val="bottom"/>
            <w:textDirection w:val="lrTb"/>
            <w:noWrap w:val="false"/>
          </w:tcPr>
          <w:p>
            <w:pPr>
              <w:ind w:left="11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 Всего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26 834,7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29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7 377,7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7 361,2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0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7 467,5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1 144,6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1 394,7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18,7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Наибольшую долю в общем объеме бюджетных ассигнований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2026 году планируется направить на региональные проекты в рамках реализации национальных проектов «Инфраструктура для жизни» (64,9 %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объема финансирования), «Продолжительная и активная жизнь» (15,3 %) и «Семья» (12,8 %).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Законом об окружном бюджете на 2026 год</w:t>
      </w:r>
      <w:r>
        <w:rPr>
          <w:rStyle w:val="4381"/>
          <w:rFonts w:ascii="Times New Roman" w:hAnsi="Times New Roman" w:cs="Times New Roman"/>
          <w:bCs/>
          <w:color w:val="000000" w:themeColor="text1"/>
          <w:sz w:val="28"/>
          <w:szCs w:val="28"/>
        </w:rPr>
        <w:footnoteReference w:id="19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утверждены бюджетные ассигнования на реализацию мероприятий 25 региональных проектов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объеме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184,9 тыс. рублей, в том числе: 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509,0 тыс. рублей – средства федерального бюджета,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858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675,9 тыс. рублей – средства окружного бюджета.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Сводной бюджетной росписью на 2026 год утвержден объем бюджетных ассигнований на реализацию мероприятий 25 региональных проектов на общую сумму 7 467 540,0 тыс. рублей.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По состоянию 1 мая 2026 года на реализацию 13 региональных проектов поступили в окружной бюджет средства федерального бюджета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объеме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144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640,2 тыс. рублей (или 20,8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% от общего объема утвержденных бюджетных назначений).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/>
        <w:rPr>
          <w:rFonts w:eastAsia="Times New Roman"/>
          <w:color w:val="000000" w:themeColor="text1"/>
        </w:rPr>
      </w:pPr>
      <w:r>
        <w:rPr>
          <w:color w:val="000000" w:themeColor="text1"/>
        </w:rPr>
        <w:t xml:space="preserve">За январь-апрель 2026 года </w:t>
      </w:r>
      <w:r>
        <w:rPr>
          <w:rFonts w:eastAsia="Times New Roman"/>
          <w:color w:val="000000" w:themeColor="text1"/>
          <w:lang w:eastAsia="ru-RU"/>
        </w:rPr>
        <w:t xml:space="preserve">на реализацию 13 региональных проектов направлено 1 394 695,9 тыс. рублей или 18,7% от утвержденных бюджетных ассигнований, в том числе в рамках семи национальных проектов:</w:t>
      </w:r>
      <w:r>
        <w:rPr>
          <w:rFonts w:eastAsia="Times New Roman"/>
          <w:color w:val="000000" w:themeColor="text1"/>
        </w:rPr>
      </w:r>
      <w:r>
        <w:rPr>
          <w:rFonts w:eastAsia="Times New Roman"/>
          <w:color w:val="000000" w:themeColor="text1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«Продолжительная и активная жизнь»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203 974,8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реализацию региональных проектов: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«Борьба с сердечно-сосудистыми заболеваниями» на обеспечение профилактики развития сердечно-сосудистых заболеваний и сердечно-сосудистых осложнений у пациентов высокого риска, находящихся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диспансерном наблюдении в объеме 246,0 тыс. рублей;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«Борьба с сахарным диабетом» на  обеспечение детей с сахарным диабетом 1 типа в возрасте от 2 до 17 лет включительно системами непрерывного мониторинга глюкозы в объеме 808,0 тыс. рублей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 обеспечение беременных женщин с сахарным диабетом системами непрерывного мониторинга глюкозы в объеме 200,0 тыс. рублей;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«Совершенствование экстренной медицинской помощи» на обеспечение закупки авиационных работ в целях оказания медицинской помощи в объеме 202 720,8 тыс. рублей.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«Инфраструктура для жизни»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645 498,3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реализацию региональных проектов: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«Модернизация коммунальной инфраструктуры» на реализацию мероприятий по модернизации коммунальной инфраструктуры  в объеме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59 639,7 тыс. рублей;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«Региональная и местная дорожная сеть» на развитие и приведение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нормативное состояние автомобильных дорог регионального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межмуниципального, местного значения, включающих искусственные дорожные сооружения в объеме 585 858,6 тыс. рублей.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«Кадры»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4 552,7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реализацию регионального проекта «Управление рынком труда» на повышение эффективности службы занятости.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«Экологическое благополучие»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1 899,3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реа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лизацию регионального проекта «Сохранение лесов» на 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«Эффективная и конкурентная экономика»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032,7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реализацию регионального проекта «Малое и среднее предпринимательство и поддержка индивидуальной предпринимательской инициативы» на государственную поддержку малого и среднего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редпринимательства в субъектах Российской Федерации в рамках субсидии некоммерческим организациям на финансовое обеспечение затрат, связанных с предоставлением услуг субъектам малого и среднего предпринимательства, а также гражданам, желающим вести бизнес.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«Молодежь и дети»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012,8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реализацию регионального проекта «Педагоги и наставники», из них: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- 1 387,9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обеспечение выплат ежемесячного денежного вознаграждения советникам директоров по воспитанию и взаимодействию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детскими общественными объединениями государственных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муниципальных общеобразовательных организаций, профессиональных образовательных организаций;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998,2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проведение мероприятий по обеспечению деятельности советников директора по воспитанию и взаимодействию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детскими общественными объединениями в общеобразовательных организациях;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- 80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885,1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ежемесячное денежное вознаграждение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классное руководство педагогическим работникам государственных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741,6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ежемесячное денежное вознаграждение 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классное руководство (кураторство) педагогическим работникам государственных образовательных организаций субъектов Российской Федерации и 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«Семья»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439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725,3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реализацию региональных проектов: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«Поддержка семьи»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385 565,1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лей, из них: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10 928,5 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предоставление единовременной выплаты при рождении второго и (или) последующих детей;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54 030,0 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предоставление ежемесячной выплаты при рождении первого и (или) второго ребенка;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4 000,0 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предоставление единовременной выплаты семьям в связи с одновременным рождением в них двух и более детей;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9 770,8 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субъектах Российской Федерации, входящих в состав Дальневосточного федерального округа;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306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835,8 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строительство объекта «Детский сад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пгт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Угольные Копи»;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«Многодетная семья»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15 879,2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лей, из них: на единовременную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енежную выплату при рождении (усыновлении) третьего или последующего ребенка (детей) в объеме 9 652,4 тыс. рублей; на  оказание государственной социальной помощи на основании социального контракта отдельным категориям граждан в объеме 6 226,8  тыс. рублей;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«Старшее поколение»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34 894,9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 на создание системы долговременного ухода за гражданами пожилого возраста и инвалидами;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570"/>
        <w:ind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«Семейные ценности и инфраструктура культуры»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3 386,1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лей, из них на модернизацию учреждений культуры, включая создание детских культурно-просветительских центров на базе учреждений культуры в объеме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419,3 тыс. рублей; на техническое оснащение региональных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муниципальных музеев в объеме 1 966,8  тыс. рублей.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Информация о реализации на территории Чукотского автономного округа региональных проектов в рамках национальных проектов </w:t>
      </w:r>
      <w:r>
        <w:rPr>
          <w:color w:val="000000" w:themeColor="text1"/>
          <w:lang w:eastAsia="ru-RU"/>
        </w:rPr>
        <w:t xml:space="preserve">по состоянию на 1 мая 2026 года в Приложении №1 к настоящему заключению.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Выводы: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4482"/>
        <w:ind w:left="57" w:right="57" w:firstLine="65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1.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Чукотский автономный округ принимает участие </w:t>
      </w:r>
      <w:r>
        <w:rPr>
          <w:color w:val="000000" w:themeColor="text1"/>
        </w:rPr>
        <w:t xml:space="preserve">в 12 из 19 национальных проектов («Продолжительная и активная жизнь», «Технологическое обеспечение продовольственной безопасности», «Инфраструктура для жизни», «Кадры»,</w:t>
      </w:r>
      <w:r>
        <w:rPr>
          <w:color w:val="000000" w:themeColor="text1"/>
        </w:rPr>
        <w:t xml:space="preserve"> «Туризм и гостеприимство», «Экономика данных и цифровая трансформация государства», «Экологическое благополучие», «Эффективная и конкурентная экономика», «Молодежь и дети», «Семья», «Международная кооперация и экспорт», «Беспилотные авиационные системы»).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57" w:right="57" w:firstLine="65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Чукотском автономном округе разработаны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Проектным офисом 40 региональных проект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ГИИС, из них региональный проект «Стимулирование спроса на отечественные беспилотные авиационные системы в Чукотском автономном округе», переходящий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в рамках реализации НП «Беспилотные авиационные системы».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3. </w:t>
      </w:r>
      <w:r>
        <w:rPr>
          <w:color w:val="000000" w:themeColor="text1"/>
        </w:rPr>
        <w:t xml:space="preserve">По состоянию на 1 мая 2026 года в Чукотском автономном округе</w:t>
      </w:r>
      <w:r>
        <w:t xml:space="preserve"> </w:t>
      </w:r>
      <w:r>
        <w:rPr>
          <w:color w:val="000000" w:themeColor="text1"/>
        </w:rPr>
        <w:t xml:space="preserve">предусмотрена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р</w:t>
      </w:r>
      <w:r>
        <w:rPr>
          <w:color w:val="000000" w:themeColor="text1"/>
        </w:rPr>
        <w:t xml:space="preserve">еализация региональных проектов в рамках национальных проектов на период до 2030 года с объемом финансовых ресурсов в сумме 26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834 701,0 тыс. рублей (включая переходящий с 2024 года региональный проект «Стимулирование спроса на отечественные беспилотные авиационные системы в Чукотском автономном округе»), из них на 2026 год – 7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377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658,7</w:t>
      </w:r>
      <w:r>
        <w:rPr>
          <w:color w:val="000000" w:themeColor="text1"/>
        </w:rPr>
        <w:t xml:space="preserve"> </w:t>
      </w:r>
      <w:r>
        <w:rPr>
          <w:color w:val="000000" w:themeColor="text1"/>
        </w:rPr>
        <w:t xml:space="preserve">тыс. рублей.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5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Сводной бюджетной росписью на 2026 год утвержден объем бюджетных ассигнований на реализацию мероприятий 25 региональных проектов на общую сумму 7 467 540,0 тыс. рублей.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4482"/>
        <w:spacing w:before="0" w:beforeAutospacing="0" w:after="0" w:afterAutospacing="0"/>
        <w:rPr>
          <w:rFonts w:eastAsia="Times New Roman"/>
          <w:color w:val="000000" w:themeColor="text1"/>
        </w:rPr>
      </w:pPr>
      <w:r>
        <w:rPr>
          <w:color w:val="000000" w:themeColor="text1"/>
        </w:rPr>
        <w:t xml:space="preserve">5. За январь-апрель 2026 года </w:t>
      </w:r>
      <w:r>
        <w:rPr>
          <w:rFonts w:eastAsia="Times New Roman"/>
          <w:color w:val="000000" w:themeColor="text1"/>
          <w:lang w:eastAsia="ru-RU"/>
        </w:rPr>
        <w:t xml:space="preserve">на реализацию 13 региональных проектов в рамках семи национальных проектов направлено 1 394 695,9 тыс. рублей или 18,7% от утвержденных бюджетных ассигнований.</w:t>
      </w:r>
      <w:r>
        <w:rPr>
          <w:rFonts w:eastAsia="Times New Roman"/>
          <w:color w:val="000000" w:themeColor="text1"/>
        </w:rPr>
      </w:r>
      <w:r>
        <w:rPr>
          <w:rFonts w:eastAsia="Times New Roman"/>
          <w:color w:val="000000" w:themeColor="text1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ab/>
        <w:t xml:space="preserve">Предложения: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r>
    </w:p>
    <w:p>
      <w:pPr>
        <w:ind w:left="57" w:right="57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направить в Думу и Губернатору Чукотского автономного округа.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Председателя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Счетной палаты Чукотского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right="57"/>
        <w:jc w:val="both"/>
        <w:spacing w:before="0" w:beforeAutospacing="0"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автономного округа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О.М. Тодавчич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992" w:right="851" w:bottom="1134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,Bold">
    <w:panose1 w:val="02020603050405020304"/>
  </w:font>
  <w:font w:name="TimesNewRomanPS-ItalicMT">
    <w:panose1 w:val="02020603050405020304"/>
  </w:font>
  <w:font w:name="Times New Roman CYR">
    <w:panose1 w:val="02020603050405020304"/>
  </w:font>
  <w:font w:name="Symbol">
    <w:panose1 w:val="05010000000000000000"/>
  </w:font>
  <w:font w:name="Consolas">
    <w:panose1 w:val="020B0606020202030204"/>
  </w:font>
  <w:font w:name="TT Jenevers Bold">
    <w:panose1 w:val="02000603000000000000"/>
  </w:font>
  <w:font w:name="HiddenHorzOCl">
    <w:panose1 w:val="02000603000000000000"/>
  </w:font>
  <w:font w:name="TimesNewRomanPSMT">
    <w:panose1 w:val="02020603050405020304"/>
  </w:font>
  <w:font w:name="PT_Russia Text">
    <w:panose1 w:val="02000603000000000000"/>
  </w:font>
  <w:font w:name="Calibri Light">
    <w:panose1 w:val="020F0502020204030204"/>
  </w:font>
  <w:font w:name="TT Jenevers">
    <w:panose1 w:val="02000603000000000000"/>
  </w:font>
  <w:font w:name="DejaVu Sans">
    <w:panose1 w:val="020B0603030804020204"/>
  </w:font>
  <w:font w:name="Courier New">
    <w:panose1 w:val="02070309020205020404"/>
  </w:font>
  <w:font w:name="Tahoma">
    <w:panose1 w:val="020B0604030504040204"/>
  </w:font>
  <w:font w:name="MS Mincho">
    <w:panose1 w:val="02020503050405090304"/>
  </w:font>
  <w:font w:name="Cambria">
    <w:panose1 w:val="02040503050406030204"/>
  </w:font>
  <w:font w:name="Calibri">
    <w:panose1 w:val="020F0502020204030204"/>
  </w:font>
  <w:font w:name="Batang">
    <w:panose1 w:val="02020509000000000000"/>
  </w:font>
  <w:font w:name="font184">
    <w:panose1 w:val="02000603000000000000"/>
  </w:font>
  <w:font w:name="Arial">
    <w:panose1 w:val="020B0604020202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PT Sans">
    <w:panose1 w:val="020B0503020203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4599"/>
        <w:jc w:val="both"/>
        <w:rPr>
          <w:rFonts w:ascii="Times New Roman" w:hAnsi="Times New Roman"/>
          <w:lang w:val="ru-RU"/>
        </w:rPr>
      </w:pPr>
      <w:r>
        <w:rPr>
          <w:rStyle w:val="4600"/>
          <w:rFonts w:ascii="Times New Roman" w:hAnsi="Times New Roman"/>
        </w:rPr>
        <w:footnoteRef/>
      </w:r>
      <w:r>
        <w:rPr>
          <w:rStyle w:val="4600"/>
          <w:rFonts w:ascii="Times New Roman" w:hAnsi="Times New Roman"/>
          <w:vertAlign w:val="baseline"/>
        </w:rPr>
        <w:t xml:space="preserve"> </w:t>
      </w:r>
      <w:r>
        <w:rPr>
          <w:rFonts w:ascii="Times New Roman" w:hAnsi="Times New Roman"/>
          <w:lang w:val="ru-RU"/>
        </w:rPr>
        <w:t xml:space="preserve">Распоряжение Правительства Чукотского автономного округа от 29 декабря 2023 года №</w:t>
      </w:r>
      <w:r>
        <w:rPr>
          <w:rFonts w:ascii="Times New Roman" w:hAnsi="Times New Roman"/>
        </w:rPr>
        <w:t xml:space="preserve"> </w:t>
      </w:r>
      <w:r>
        <w:rPr>
          <w:rFonts w:ascii="Times New Roman" w:hAnsi="Times New Roman"/>
          <w:lang w:val="ru-RU"/>
        </w:rPr>
        <w:t xml:space="preserve">674-рп </w:t>
      </w:r>
      <w:r>
        <w:rPr>
          <w:rFonts w:ascii="Times New Roman" w:hAnsi="Times New Roman"/>
          <w:lang w:val="ru-RU"/>
        </w:rPr>
        <w:br/>
      </w:r>
      <w:r>
        <w:rPr>
          <w:rFonts w:ascii="Times New Roman" w:hAnsi="Times New Roman"/>
          <w:lang w:val="ru-RU"/>
        </w:rPr>
        <w:t xml:space="preserve">«Об утверждении паспорта Государственной программы «Развитие жилищного строительства в Чукотском автономном округе»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</w:footnote>
  <w:footnote w:id="3">
    <w:p>
      <w:pPr>
        <w:pStyle w:val="4599"/>
        <w:jc w:val="both"/>
        <w:rPr>
          <w:rFonts w:ascii="Times New Roman" w:hAnsi="Times New Roman"/>
          <w:lang w:val="ru-RU"/>
        </w:rPr>
      </w:pPr>
      <w:r>
        <w:rPr>
          <w:rStyle w:val="4600"/>
          <w:rFonts w:ascii="Times New Roman" w:hAnsi="Times New Roman"/>
        </w:rPr>
        <w:footnoteRef/>
      </w:r>
      <w:r>
        <w:rPr>
          <w:rStyle w:val="4600"/>
          <w:rFonts w:ascii="Times New Roman" w:hAnsi="Times New Roman"/>
          <w:vertAlign w:val="baseline"/>
        </w:rPr>
        <w:t xml:space="preserve"> </w:t>
      </w:r>
      <w:r>
        <w:rPr>
          <w:rFonts w:ascii="Times New Roman" w:hAnsi="Times New Roman"/>
          <w:lang w:val="ru-RU"/>
        </w:rPr>
        <w:t xml:space="preserve">Постановление Правительства Чукотского автономного округа от 29 декабря 2023 года №</w:t>
      </w:r>
      <w:r>
        <w:rPr>
          <w:rFonts w:ascii="Times New Roman" w:hAnsi="Times New Roman"/>
        </w:rPr>
        <w:t xml:space="preserve"> </w:t>
      </w:r>
      <w:r>
        <w:rPr>
          <w:rFonts w:ascii="Times New Roman" w:hAnsi="Times New Roman"/>
          <w:lang w:val="ru-RU"/>
        </w:rPr>
        <w:t xml:space="preserve">540 </w:t>
      </w:r>
      <w:r>
        <w:rPr>
          <w:rFonts w:ascii="Times New Roman" w:hAnsi="Times New Roman"/>
          <w:lang w:val="ru-RU"/>
        </w:rPr>
        <w:br/>
        <w:t xml:space="preserve">«Об утверждении Государственной программы «Развит</w:t>
      </w:r>
      <w:r>
        <w:rPr>
          <w:rFonts w:ascii="Times New Roman" w:hAnsi="Times New Roman"/>
          <w:lang w:val="ru-RU"/>
        </w:rPr>
        <w:t xml:space="preserve">ие жилищного строительства в Чукотском автономном округе» (далее – Государственная программа №</w:t>
      </w:r>
      <w:r>
        <w:rPr>
          <w:rFonts w:ascii="Times New Roman" w:hAnsi="Times New Roman"/>
        </w:rPr>
        <w:t xml:space="preserve"> </w:t>
      </w:r>
      <w:r>
        <w:rPr>
          <w:rFonts w:ascii="Times New Roman" w:hAnsi="Times New Roman"/>
          <w:lang w:val="ru-RU"/>
        </w:rPr>
        <w:t xml:space="preserve">540)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</w:footnote>
  <w:footnote w:id="4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 </w:t>
      </w:r>
      <w:r>
        <w:rPr>
          <w:rFonts w:ascii="Times New Roman" w:hAnsi="Times New Roman"/>
          <w:sz w:val="20"/>
          <w:szCs w:val="20"/>
        </w:rPr>
        <w:t xml:space="preserve">З</w:t>
      </w:r>
      <w:r>
        <w:rPr>
          <w:rFonts w:ascii="Times New Roman" w:hAnsi="Times New Roman"/>
          <w:bCs/>
          <w:sz w:val="20"/>
          <w:szCs w:val="20"/>
        </w:rPr>
        <w:t xml:space="preserve">акон Чукотского автономно</w:t>
      </w:r>
      <w:r>
        <w:rPr>
          <w:rFonts w:ascii="Times New Roman" w:hAnsi="Times New Roman"/>
          <w:bCs/>
          <w:sz w:val="20"/>
          <w:szCs w:val="20"/>
        </w:rPr>
        <w:t xml:space="preserve">го округа от 4 декабря 2024 года № 64-ОЗ «Об окружном бюджете на 2025 год и на плановый период 2026 и 2027 годов» (далее – Закон об окружном бюджете на 2025 год)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5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 далее – Постановление Правительства от 15.12.2025 № 640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6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 таблица 38 Приложения 18 к Закону </w:t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об окружном бюджете на 2025 год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7">
    <w:p>
      <w:pPr>
        <w:pStyle w:val="4599"/>
        <w:jc w:val="both"/>
        <w:rPr>
          <w:rFonts w:ascii="Times New Roman" w:hAnsi="Times New Roman"/>
          <w:lang w:val="ru-RU"/>
        </w:rPr>
      </w:pPr>
      <w:r>
        <w:rPr>
          <w:rStyle w:val="4600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 </w:t>
      </w:r>
      <w:r>
        <w:rPr>
          <w:rFonts w:ascii="Times New Roman" w:hAnsi="Times New Roman"/>
          <w:lang w:val="ru-RU"/>
        </w:rPr>
        <w:t xml:space="preserve">Приложение 4 к Государственной программе № 540 (далее – Порядок, Порядок предоставления субсидий на обеспечение мероприятий  по развитию жилищного строительства)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</w:footnote>
  <w:footnote w:id="8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 Постановление </w:t>
      </w:r>
      <w:r>
        <w:rPr>
          <w:rFonts w:ascii="Times New Roman" w:hAnsi="Times New Roman"/>
          <w:bCs/>
          <w:sz w:val="20"/>
          <w:szCs w:val="20"/>
        </w:rPr>
        <w:t xml:space="preserve">Администрации Провиденского городского окру</w:t>
      </w:r>
      <w:r>
        <w:rPr>
          <w:rFonts w:ascii="Times New Roman" w:hAnsi="Times New Roman"/>
          <w:bCs/>
          <w:sz w:val="20"/>
          <w:szCs w:val="20"/>
        </w:rPr>
        <w:t xml:space="preserve">га от 28 июля 2020 года № 208 «Об утверждении муниципальной программы «Переселение граждан из аварийного жилищного фонда Провиденского муниципального округа» (далее – Муниципальная программа </w:t>
      </w:r>
      <w:r>
        <w:rPr>
          <w:rFonts w:ascii="Times New Roman" w:hAnsi="Times New Roman" w:eastAsia="Calibri"/>
          <w:bCs/>
          <w:sz w:val="20"/>
          <w:szCs w:val="20"/>
        </w:rPr>
        <w:t xml:space="preserve">«Переселение граждан из аварийного жилищного фонда Провиденского </w:t>
      </w:r>
      <w:r>
        <w:rPr>
          <w:rFonts w:ascii="Times New Roman" w:hAnsi="Times New Roman" w:eastAsia="Calibri"/>
          <w:bCs/>
          <w:sz w:val="20"/>
          <w:szCs w:val="20"/>
        </w:rPr>
        <w:t xml:space="preserve">МО»</w:t>
      </w:r>
      <w:r>
        <w:rPr>
          <w:rFonts w:ascii="Times New Roman" w:hAnsi="Times New Roman"/>
          <w:bCs/>
          <w:sz w:val="20"/>
          <w:szCs w:val="20"/>
        </w:rPr>
        <w:t xml:space="preserve">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9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 </w:t>
      </w:r>
      <w:r>
        <w:rPr>
          <w:rFonts w:ascii="Times New Roman" w:hAnsi="Times New Roman"/>
          <w:sz w:val="20"/>
          <w:szCs w:val="20"/>
        </w:rPr>
        <w:t xml:space="preserve">Решение Совета депутатов Провиденского муниципального округа от 23 декабря 2024 года № 239 «О бюджете Провиденского муниципального округа на 2025 год» (в редакции от 25.12.2025 № 329), (далее – Решение о бюджете Провиденского МО на 2025 год)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10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 Решение Совета депутатов Провиденского муниципального округа от 16 декабря 2025 года № 313 «О бюджете Провиденского муниципального округа на 2026 год» (в редакции от 24.02.2026 № 341), (далее – Решение о бюджете Провиденского МО на 2026 год)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11">
    <w:p>
      <w:pPr>
        <w:pStyle w:val="437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Style w:val="4381"/>
          <w:rFonts w:ascii="Times New Roman" w:hAnsi="Times New Roman"/>
          <w:sz w:val="20"/>
          <w:szCs w:val="20"/>
          <w:highlight w:val="white"/>
        </w:rPr>
        <w:footnoteRef/>
      </w:r>
      <w:r>
        <w:rPr>
          <w:rStyle w:val="4381"/>
          <w:rFonts w:ascii="Times New Roman" w:hAnsi="Times New Roman"/>
          <w:sz w:val="20"/>
          <w:szCs w:val="20"/>
          <w:highlight w:val="white"/>
          <w:vertAlign w:val="baseline"/>
        </w:rPr>
        <w:t xml:space="preserve"> </w:t>
      </w:r>
      <w:r>
        <w:rPr>
          <w:rFonts w:ascii="Times New Roman" w:hAnsi="Times New Roman"/>
          <w:sz w:val="20"/>
          <w:szCs w:val="20"/>
          <w:highlight w:val="white"/>
        </w:rPr>
        <w:t xml:space="preserve">далее – Рас</w:t>
      </w:r>
      <w:r>
        <w:rPr>
          <w:rFonts w:ascii="Times New Roman" w:hAnsi="Times New Roman"/>
          <w:sz w:val="20"/>
          <w:szCs w:val="20"/>
          <w:highlight w:val="white"/>
        </w:rPr>
        <w:t xml:space="preserve">ходы на реализацию мероприятий по развитию жилищного строительства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</w:footnote>
  <w:footnote w:id="12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 План-график закупок товаров, работ, услуг на 2025 финансовый год и на плановый период 2026 и 2027 годов (далее  – План-график на 2025 год)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13">
    <w:p>
      <w:pPr>
        <w:pStyle w:val="4379"/>
        <w:jc w:val="both"/>
        <w:rPr>
          <w:rFonts w:ascii="Times New Roman" w:hAnsi="Times New Roman"/>
          <w:sz w:val="20"/>
          <w:szCs w:val="20"/>
          <w:highlight w:val="yellow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 Приказ Министерства экономического развития Российской Федерации от 2 октября 2013 года № 567</w:t>
      </w:r>
      <w:r>
        <w:rPr>
          <w:rFonts w:ascii="Times New Roman" w:hAnsi="Times New Roman"/>
          <w:sz w:val="20"/>
          <w:szCs w:val="20"/>
          <w:highlight w:val="yellow"/>
        </w:rPr>
      </w:r>
      <w:r>
        <w:rPr>
          <w:rFonts w:ascii="Times New Roman" w:hAnsi="Times New Roman"/>
          <w:sz w:val="20"/>
          <w:szCs w:val="20"/>
          <w:highlight w:val="yellow"/>
        </w:rPr>
      </w:r>
    </w:p>
  </w:footnote>
  <w:footnote w:id="14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 </w:t>
      </w:r>
      <w:r>
        <w:rPr>
          <w:rFonts w:ascii="Times New Roman" w:hAnsi="Times New Roman"/>
          <w:sz w:val="20"/>
          <w:szCs w:val="20"/>
        </w:rPr>
        <w:t xml:space="preserve">Запросы в целях маркетингового исследования по изучению текущих цен от 14 января 2025 года  №№ 68, 69, 70 в адрес:  ООО «СТРУКТУРА», ООО «Алгоритм», ООО «Вымпе</w:t>
      </w:r>
      <w:r>
        <w:rPr>
          <w:rFonts w:ascii="Times New Roman" w:hAnsi="Times New Roman"/>
          <w:sz w:val="20"/>
          <w:szCs w:val="20"/>
        </w:rPr>
        <w:t xml:space="preserve">л» (ответы от 15-16 января 2025 года)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15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 </w:t>
      </w:r>
      <w:r>
        <w:rPr>
          <w:rFonts w:ascii="Times New Roman" w:hAnsi="Times New Roman"/>
          <w:sz w:val="20"/>
          <w:szCs w:val="20"/>
        </w:rPr>
        <w:t xml:space="preserve">в рамках соглашений на обеспечение  мероприятий по развитию жилищного строительства в других населенных пунктах Провиденского МО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16">
    <w:p>
      <w:pPr>
        <w:pStyle w:val="4379"/>
        <w:jc w:val="both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 </w:t>
      </w:r>
      <w:r>
        <w:rPr>
          <w:rFonts w:ascii="Times New Roman" w:hAnsi="Times New Roman"/>
          <w:sz w:val="20"/>
          <w:szCs w:val="20"/>
        </w:rPr>
        <w:t xml:space="preserve">письмо Департамента строительства в адрес Главы Администрации Провиденского МО от 25 </w:t>
      </w:r>
      <w:r>
        <w:rPr>
          <w:rFonts w:ascii="Times New Roman" w:hAnsi="Times New Roman"/>
          <w:sz w:val="20"/>
          <w:szCs w:val="20"/>
        </w:rPr>
        <w:t xml:space="preserve">августа 2025 года №15-3/2661 «О направлении документов на подпись»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17"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Style w:val="4381"/>
          <w:rFonts w:ascii="Times New Roman" w:hAnsi="Times New Roman"/>
          <w:sz w:val="20"/>
          <w:szCs w:val="20"/>
          <w:vertAlign w:val="baseline"/>
        </w:rPr>
        <w:t xml:space="preserve"> </w:t>
      </w:r>
      <w:r>
        <w:rPr>
          <w:rFonts w:ascii="Times New Roman" w:hAnsi="Times New Roman"/>
          <w:sz w:val="20"/>
          <w:szCs w:val="20"/>
        </w:rPr>
        <w:t xml:space="preserve">Федеральный закон от 31 июля 1998 года № 145-ФЗ Бюджетный кодекс Российской Федерации (далее – Бюджетный кодекс)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</w:footnote>
  <w:footnote w:id="18">
    <w:p>
      <w:pPr>
        <w:pStyle w:val="4379"/>
        <w:jc w:val="both"/>
        <w:rPr>
          <w:rFonts w:ascii="Times New Roman" w:hAnsi="Times New Roman"/>
          <w:bCs/>
          <w:sz w:val="20"/>
          <w:szCs w:val="20"/>
        </w:rPr>
      </w:pPr>
      <w:r>
        <w:rPr>
          <w:rStyle w:val="4381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 Постановление Администрации Провиденского муниципального округа от 31 ма</w:t>
      </w:r>
      <w:r>
        <w:rPr>
          <w:rFonts w:ascii="Times New Roman" w:hAnsi="Times New Roman"/>
          <w:sz w:val="20"/>
          <w:szCs w:val="20"/>
        </w:rPr>
        <w:t xml:space="preserve">рта 2025 года № 103 «Об утверждении Порядка разработки, реализации и оценки эффективности муниципальных программ Провиденского муниципального округа» (далее – Порядок разработки, реализации и оценки эффективности муниципальных программ Провиденского МО)</w:t>
      </w:r>
      <w:r>
        <w:rPr>
          <w:rFonts w:ascii="Times New Roman" w:hAnsi="Times New Roman"/>
          <w:bCs/>
          <w:sz w:val="20"/>
          <w:szCs w:val="20"/>
        </w:rPr>
      </w:r>
      <w:r>
        <w:rPr>
          <w:rFonts w:ascii="Times New Roman" w:hAnsi="Times New Roman"/>
          <w:bCs/>
          <w:sz w:val="20"/>
          <w:szCs w:val="20"/>
        </w:rPr>
      </w:r>
    </w:p>
  </w:footnote>
  <w:footnote w:id="19">
    <w:p>
      <w:pPr>
        <w:pStyle w:val="4379"/>
        <w:ind w:firstLine="426"/>
        <w:jc w:val="both"/>
        <w:rPr>
          <w:rFonts w:ascii="Times New Roman" w:hAnsi="Times New Roman"/>
        </w:rPr>
      </w:pPr>
      <w:r>
        <w:rPr>
          <w:rStyle w:val="4381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Утверждена Постановление</w:t>
      </w:r>
      <w:r>
        <w:rPr>
          <w:rFonts w:ascii="Times New Roman" w:hAnsi="Times New Roman"/>
        </w:rPr>
        <w:t xml:space="preserve">м</w:t>
      </w:r>
      <w:r>
        <w:rPr>
          <w:rFonts w:ascii="Times New Roman" w:hAnsi="Times New Roman"/>
        </w:rPr>
        <w:t xml:space="preserve"> Правительства Чукотского автономного округа от 11</w:t>
      </w:r>
      <w:r>
        <w:rPr>
          <w:rFonts w:ascii="Times New Roman" w:hAnsi="Times New Roman"/>
        </w:rPr>
        <w:t xml:space="preserve"> декабря </w:t>
      </w:r>
      <w:r>
        <w:rPr>
          <w:rFonts w:ascii="Times New Roman" w:hAnsi="Times New Roman"/>
        </w:rPr>
        <w:t xml:space="preserve">2023</w:t>
      </w:r>
      <w:r>
        <w:rPr>
          <w:rFonts w:ascii="Times New Roman" w:hAnsi="Times New Roman"/>
        </w:rPr>
        <w:t xml:space="preserve"> года №</w:t>
      </w:r>
      <w:r>
        <w:rPr>
          <w:rFonts w:ascii="Times New Roman" w:hAnsi="Times New Roman"/>
        </w:rPr>
        <w:t xml:space="preserve"> 452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20">
    <w:p>
      <w:pPr>
        <w:pStyle w:val="4601"/>
        <w:ind w:firstLine="426"/>
        <w:jc w:val="both"/>
      </w:pPr>
      <w:r>
        <w:rPr>
          <w:vertAlign w:val="superscript"/>
        </w:rPr>
        <w:footnoteRef/>
      </w:r>
      <w:r>
        <w:t xml:space="preserve">  </w:t>
      </w:r>
      <w:r>
        <w:rPr>
          <w:rFonts w:ascii="Times New Roman" w:hAnsi="Times New Roman"/>
        </w:rPr>
        <w:t xml:space="preserve">Утвержден Постановлением Правительства Чукотского автономного округа от 10 сентября 2013 года № 359 (далее – Порядок разработки госпрограмм),  принят в соответствии со статьей 179 Бюджетного кодекса Российской Федерации (далее – БК РФ)</w:t>
      </w:r>
      <w:r/>
    </w:p>
  </w:footnote>
  <w:footnote w:id="21">
    <w:p>
      <w:pPr>
        <w:pStyle w:val="4379"/>
        <w:ind w:firstLine="426"/>
        <w:jc w:val="both"/>
        <w:rPr>
          <w:rFonts w:ascii="Times New Roman" w:hAnsi="Times New Roman"/>
        </w:rPr>
      </w:pPr>
      <w:r>
        <w:rPr>
          <w:rStyle w:val="4381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Закон Чукотского автономного округа от 4 декабря 2024 года № 64-ОЗ «Об окружном бюджете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на 2025 год и на плановый период 2026 и 2027 годов» (далее – Закон о бюджете на 2025 год)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22">
    <w:p>
      <w:pPr>
        <w:pStyle w:val="4379"/>
        <w:ind w:firstLine="426"/>
        <w:rPr>
          <w:rFonts w:ascii="Times New Roman" w:hAnsi="Times New Roman"/>
        </w:rPr>
      </w:pPr>
      <w:r>
        <w:rPr>
          <w:rStyle w:val="4381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Утвержден Постановлением Правительства Чукотского автономного округа от 14 апреля 2021 года №</w:t>
      </w:r>
      <w:r>
        <w:rPr>
          <w:rFonts w:ascii="Times New Roman" w:hAnsi="Times New Roman"/>
        </w:rPr>
        <w:t xml:space="preserve"> </w:t>
      </w:r>
      <w:r>
        <w:rPr>
          <w:rFonts w:ascii="Times New Roman" w:hAnsi="Times New Roman"/>
        </w:rPr>
        <w:t xml:space="preserve">107 (далее соответственно - Порядок № 107, субсидия на иные цели)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23">
    <w:p>
      <w:pPr>
        <w:pStyle w:val="4379"/>
        <w:ind w:firstLine="426"/>
        <w:rPr>
          <w:rFonts w:ascii="Times New Roman" w:hAnsi="Times New Roman"/>
        </w:rPr>
      </w:pPr>
      <w:r>
        <w:rPr>
          <w:rStyle w:val="4381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Постановление Правительства Чукотского автономного округа от 8 июля 2021 года № 297 (в редакции от 20 января 2025 года) (далее соответственно — Порядок № 297, грант)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24">
    <w:p>
      <w:pPr>
        <w:pStyle w:val="4601"/>
        <w:ind w:firstLine="426"/>
        <w:jc w:val="both"/>
      </w:pPr>
      <w:r>
        <w:rPr>
          <w:rStyle w:val="4381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Постановление Правительства Российской Федерации от 25 октября 2023 года № 1782</w:t>
      </w:r>
      <w:r>
        <w:t xml:space="preserve"> </w:t>
      </w:r>
      <w:r>
        <w:t xml:space="preserve">«</w:t>
      </w:r>
      <w:r>
        <w:rPr>
          <w:rFonts w:ascii="Times New Roman" w:hAnsi="Times New Roman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</w:t>
      </w:r>
      <w:r>
        <w:rPr>
          <w:rFonts w:ascii="Times New Roman" w:hAnsi="Times New Roman"/>
        </w:rPr>
        <w:t xml:space="preserve">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rFonts w:ascii="Times New Roman" w:hAnsi="Times New Roman"/>
        </w:rPr>
        <w:t xml:space="preserve">» (далее соответственно – Постановление № 1782, Общие требования);</w:t>
      </w:r>
      <w:r/>
    </w:p>
  </w:footnote>
  <w:footnote w:id="25">
    <w:p>
      <w:pPr>
        <w:pStyle w:val="4379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далее – Счетная палата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26">
    <w:p>
      <w:pPr>
        <w:pStyle w:val="4379"/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4381"/>
          <w:color w:val="000000" w:themeColor="text1"/>
        </w:rPr>
        <w:footnoteRef/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Постановление Правительства Чукотского автономного округа от 07.09.2018г. №286 «Об утверждении Положения об организации проектной деятельности в Чукотском автономном округе» (далее – Постановление №286)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4379"/>
      </w:pPr>
      <w:r/>
      <w:r/>
    </w:p>
  </w:footnote>
  <w:footnote w:id="27">
    <w:p>
      <w:pPr>
        <w:pStyle w:val="437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4381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Закон Чукотского автономного округа от 04.12.2024 года №64-ОЗ «Об окружном бюджете на 2025 год и на плановый период 2026 и 2027 годов» 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(далее – Закон №64-ОЗ, Закон об окружном бюджете на 2025 год)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</w:p>
  </w:footnote>
  <w:footnote w:id="28">
    <w:p>
      <w:pPr>
        <w:pStyle w:val="4379"/>
        <w:jc w:val="both"/>
        <w:rPr>
          <w:rFonts w:ascii="Times New Roman" w:hAnsi="Times New Roman" w:cs="Times New Roman"/>
          <w:color w:val="ff0000"/>
        </w:rPr>
      </w:pPr>
      <w:r>
        <w:rPr>
          <w:rStyle w:val="4381"/>
          <w:rFonts w:ascii="Times New Roman" w:hAnsi="Times New Roman" w:cs="Times New Roman"/>
          <w:color w:val="000000" w:themeColor="text1"/>
        </w:rPr>
        <w:footnoteRef/>
      </w:r>
      <w:r>
        <w:rPr>
          <w:rFonts w:ascii="Times New Roman" w:hAnsi="Times New Roman" w:cs="Times New Roman"/>
          <w:color w:val="000000" w:themeColor="text1"/>
        </w:rPr>
        <w:t xml:space="preserve"> далее – Фонд РТ</w:t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</w:footnote>
  <w:footnote w:id="29">
    <w:p>
      <w:pPr>
        <w:pStyle w:val="4482"/>
        <w:ind w:firstLine="0"/>
        <w:rPr>
          <w:sz w:val="20"/>
          <w:szCs w:val="20"/>
        </w:rPr>
      </w:pPr>
      <w:r>
        <w:rPr>
          <w:rStyle w:val="4381"/>
          <w:color w:val="000000" w:themeColor="text1"/>
          <w:sz w:val="20"/>
          <w:szCs w:val="20"/>
        </w:rPr>
        <w:footnoteRef/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З</w:t>
      </w:r>
      <w:r>
        <w:rPr>
          <w:color w:val="000000" w:themeColor="text1"/>
          <w:sz w:val="20"/>
          <w:szCs w:val="20"/>
        </w:rPr>
        <w:t xml:space="preserve">десь и далее а</w:t>
      </w:r>
      <w:r>
        <w:rPr>
          <w:color w:val="000000" w:themeColor="text1"/>
          <w:sz w:val="20"/>
          <w:szCs w:val="20"/>
          <w:lang w:eastAsia="ru-RU"/>
        </w:rPr>
        <w:t xml:space="preserve">нализ хода реализации региональных проектов проведен на основе данных, предоставленных Проектным офисом и руководителями региональных проектов, и данных, размещенных в </w:t>
      </w:r>
      <w:r>
        <w:rPr>
          <w:color w:val="000000" w:themeColor="text1"/>
          <w:sz w:val="20"/>
          <w:szCs w:val="20"/>
        </w:rPr>
        <w:t xml:space="preserve">ГИИС «Электронный бюджет», ГИС «ЕИС ЗАКУПКИ»</w:t>
      </w:r>
      <w:r>
        <w:rPr>
          <w:sz w:val="20"/>
          <w:szCs w:val="20"/>
        </w:rPr>
      </w:r>
      <w:r>
        <w:rPr>
          <w:sz w:val="20"/>
          <w:szCs w:val="20"/>
        </w:rPr>
      </w:r>
    </w:p>
  </w:footnote>
  <w:footnote w:id="30">
    <w:p>
      <w:pPr>
        <w:pStyle w:val="4379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 Б</w:t>
      </w:r>
      <w:r>
        <w:rPr>
          <w:color w:val="000000"/>
          <w:sz w:val="18"/>
          <w:szCs w:val="18"/>
        </w:rPr>
        <w:t xml:space="preserve">юджет </w:t>
      </w:r>
      <w:r>
        <w:rPr>
          <w:iCs/>
          <w:color w:val="000000"/>
          <w:sz w:val="18"/>
          <w:szCs w:val="18"/>
        </w:rPr>
        <w:t xml:space="preserve">Чукотского территориального фонда обязательного медицинского страхования (далее – бюджет Фонда);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1">
    <w:p>
      <w:pPr>
        <w:pStyle w:val="4379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 Счетн</w:t>
      </w:r>
      <w:r>
        <w:rPr>
          <w:sz w:val="18"/>
          <w:szCs w:val="18"/>
        </w:rPr>
        <w:t xml:space="preserve">ая </w:t>
      </w:r>
      <w:r>
        <w:rPr>
          <w:sz w:val="18"/>
          <w:szCs w:val="18"/>
        </w:rPr>
        <w:t xml:space="preserve">палат</w:t>
      </w:r>
      <w:r>
        <w:rPr>
          <w:sz w:val="18"/>
          <w:szCs w:val="18"/>
        </w:rPr>
        <w:t xml:space="preserve">а</w:t>
      </w:r>
      <w:r>
        <w:rPr>
          <w:sz w:val="18"/>
          <w:szCs w:val="18"/>
        </w:rPr>
        <w:t xml:space="preserve"> Чукотского автономного округа (далее – Счетная палата)</w:t>
      </w:r>
      <w:r>
        <w:rPr>
          <w:sz w:val="18"/>
          <w:szCs w:val="18"/>
        </w:rPr>
        <w:t xml:space="preserve">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2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color w:val="000000"/>
          <w:sz w:val="18"/>
          <w:szCs w:val="18"/>
        </w:rPr>
        <w:t xml:space="preserve"> Закон Чукотского автономного округа от 30 июня 1998 года №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36-ОЗ «</w:t>
      </w:r>
      <w:r>
        <w:rPr>
          <w:color w:val="000000"/>
          <w:sz w:val="18"/>
          <w:szCs w:val="18"/>
        </w:rPr>
        <w:t xml:space="preserve">О  Счетной</w:t>
      </w:r>
      <w:r>
        <w:rPr>
          <w:color w:val="000000"/>
          <w:sz w:val="18"/>
          <w:szCs w:val="18"/>
        </w:rPr>
        <w:t xml:space="preserve"> палате Чукотского автономного округа» (далее – Закон о Счетной палате); 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3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 Закон Чукотского автономного округа от 24 мая 2002 года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31-ОЗ «О бюджетном процессе в Чукотском автономном округе» (далее – Закон о бюджетном процессе);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4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 Инструкция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утвержденная Приказом Минфина России от 28 декабря 2010 года № 191н (далее – Инструкция № 191н);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5">
    <w:p>
      <w:pPr>
        <w:jc w:val="both"/>
        <w:spacing w:after="0" w:line="240" w:lineRule="auto"/>
        <w:rPr>
          <w:sz w:val="18"/>
          <w:szCs w:val="18"/>
        </w:rPr>
      </w:pPr>
      <w:r>
        <w:rPr>
          <w:rStyle w:val="4381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 </w:t>
      </w:r>
      <w:r>
        <w:rPr>
          <w:rFonts w:ascii="Times New Roman" w:hAnsi="Times New Roman"/>
          <w:color w:val="000000"/>
          <w:sz w:val="18"/>
          <w:szCs w:val="18"/>
        </w:rPr>
        <w:t xml:space="preserve">Территориальная </w:t>
      </w:r>
      <w:r>
        <w:rPr>
          <w:rFonts w:ascii="Times New Roman" w:hAnsi="Times New Roman"/>
          <w:color w:val="000000"/>
          <w:sz w:val="18"/>
          <w:szCs w:val="18"/>
        </w:rPr>
        <w:t xml:space="preserve">программа </w:t>
      </w:r>
      <w:r>
        <w:rPr>
          <w:rFonts w:ascii="Times New Roman" w:hAnsi="Times New Roman"/>
          <w:sz w:val="18"/>
          <w:szCs w:val="18"/>
        </w:rPr>
        <w:t xml:space="preserve">обязательного медицинского страхования на территории Чукотского автономного округа</w:t>
      </w:r>
      <w:r>
        <w:rPr>
          <w:rFonts w:ascii="Times New Roman" w:hAnsi="Times New Roman"/>
          <w:color w:val="000000"/>
          <w:sz w:val="18"/>
          <w:szCs w:val="18"/>
        </w:rPr>
        <w:t xml:space="preserve"> (далее – Территориальная программа ОМС)</w:t>
      </w:r>
      <w:r>
        <w:rPr>
          <w:rFonts w:ascii="Times New Roman" w:hAnsi="Times New Roman"/>
          <w:color w:val="000000"/>
          <w:sz w:val="18"/>
          <w:szCs w:val="18"/>
        </w:rPr>
        <w:t xml:space="preserve">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6">
    <w:p>
      <w:pPr>
        <w:pStyle w:val="4379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 Обязательное медици</w:t>
      </w:r>
      <w:r>
        <w:rPr>
          <w:sz w:val="18"/>
          <w:szCs w:val="18"/>
        </w:rPr>
        <w:t xml:space="preserve">нское страхование (далее – ОМС)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7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 Чукотский территориальный фонд обязательного медицинского страхования (далее – Фонд);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8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Федеральный  фонд</w:t>
      </w:r>
      <w:r>
        <w:rPr>
          <w:sz w:val="18"/>
          <w:szCs w:val="18"/>
        </w:rPr>
        <w:t xml:space="preserve"> обязательного медицинского страхо</w:t>
      </w:r>
      <w:r>
        <w:rPr>
          <w:sz w:val="18"/>
          <w:szCs w:val="18"/>
        </w:rPr>
        <w:t xml:space="preserve">вания (далее – ФФ</w:t>
      </w:r>
      <w:r>
        <w:rPr>
          <w:sz w:val="18"/>
          <w:szCs w:val="18"/>
        </w:rPr>
        <w:t xml:space="preserve">ОМС);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9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Утверждено </w:t>
      </w:r>
      <w:r>
        <w:rPr>
          <w:sz w:val="18"/>
          <w:szCs w:val="18"/>
        </w:rPr>
        <w:t xml:space="preserve">Постановлением Правительства Чукотского автономного округа от 25 марта 2011 года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105;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0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 Федеральный закон от 29 ноября 2010 года № 326-ФЗ «Об обязательном медицинском страховании в Российской Федерации» (далее – Федеральный закон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326-ФЗ); 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1">
    <w:p>
      <w:pPr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Style w:val="4381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 </w:t>
      </w:r>
      <w:r>
        <w:rPr>
          <w:rFonts w:ascii="Times New Roman" w:hAnsi="Times New Roman"/>
          <w:color w:val="000000"/>
          <w:sz w:val="18"/>
          <w:szCs w:val="18"/>
        </w:rPr>
        <w:t xml:space="preserve">Территориальная программа государственных гарантий бесплатного оказания гражданам медицинско</w:t>
      </w:r>
      <w:r>
        <w:rPr>
          <w:rFonts w:ascii="Times New Roman" w:hAnsi="Times New Roman"/>
          <w:color w:val="000000"/>
          <w:sz w:val="18"/>
          <w:szCs w:val="18"/>
        </w:rPr>
        <w:t xml:space="preserve">й помощи на                2025 год и на плановый период 2026 и 2027</w:t>
      </w:r>
      <w:r>
        <w:rPr>
          <w:rFonts w:ascii="Times New Roman" w:hAnsi="Times New Roman"/>
          <w:color w:val="000000"/>
          <w:sz w:val="18"/>
          <w:szCs w:val="18"/>
        </w:rPr>
        <w:t xml:space="preserve"> годов в Чукотском автономном округе</w:t>
      </w:r>
      <w:r>
        <w:rPr>
          <w:rFonts w:ascii="Times New Roman" w:hAnsi="Times New Roman"/>
          <w:color w:val="000000"/>
          <w:sz w:val="18"/>
          <w:szCs w:val="18"/>
        </w:rPr>
        <w:t xml:space="preserve">,</w:t>
      </w:r>
      <w:r>
        <w:rPr>
          <w:rFonts w:ascii="Times New Roman" w:hAnsi="Times New Roman"/>
          <w:color w:val="000000"/>
          <w:sz w:val="18"/>
          <w:szCs w:val="18"/>
        </w:rPr>
        <w:t xml:space="preserve"> утверждена Постановлением </w:t>
      </w:r>
      <w:r>
        <w:rPr>
          <w:rFonts w:ascii="Times New Roman" w:hAnsi="Times New Roman"/>
          <w:sz w:val="18"/>
          <w:szCs w:val="18"/>
        </w:rPr>
        <w:t xml:space="preserve">Правительства Чукотского автономного округа от 28 декабря 2024 года № 531 (далее – ТПГГ, Постановление № 531);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</w:footnote>
  <w:footnote w:id="42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 Государственная программа «Развитие здравоохранения Чукотского автономного округа», утверждена Постановлением Правительства Чукотского автономного округа от 29 декабря 2023 года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566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3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 Приказ Департамента ф</w:t>
      </w:r>
      <w:r>
        <w:rPr>
          <w:sz w:val="18"/>
          <w:szCs w:val="18"/>
        </w:rPr>
        <w:t xml:space="preserve">инансов и имущественных отношений Чукотского автономного округа от 28 декабря 2024 года № 261 «Об утверждении Перечня главных администраторов доходов окружного бюджета и Чукотского территориального фонда обязательного медицинского страхования на 2025 год»;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4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 Закон Чу</w:t>
      </w:r>
      <w:r>
        <w:rPr>
          <w:sz w:val="18"/>
          <w:szCs w:val="18"/>
        </w:rPr>
        <w:t xml:space="preserve">котского автономного округа от 9 декабря 2024</w:t>
      </w:r>
      <w:r>
        <w:rPr>
          <w:sz w:val="18"/>
          <w:szCs w:val="18"/>
        </w:rPr>
        <w:t xml:space="preserve"> года №</w:t>
      </w:r>
      <w:r>
        <w:rPr>
          <w:sz w:val="18"/>
          <w:szCs w:val="18"/>
        </w:rPr>
        <w:t xml:space="preserve"> 82</w:t>
      </w:r>
      <w:r>
        <w:rPr>
          <w:sz w:val="18"/>
          <w:szCs w:val="18"/>
        </w:rPr>
        <w:t xml:space="preserve">-ОЗ «О бюджете Чукотского территориального фонда обязательного медицинского страхования на 202</w:t>
      </w:r>
      <w:r>
        <w:rPr>
          <w:sz w:val="18"/>
          <w:szCs w:val="18"/>
        </w:rPr>
        <w:t xml:space="preserve">5 год и на плановый период 2026 и 2027</w:t>
      </w:r>
      <w:r>
        <w:rPr>
          <w:sz w:val="18"/>
          <w:szCs w:val="18"/>
        </w:rPr>
        <w:t xml:space="preserve"> годов» (далее – Закон о бюджете Фонда)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5">
    <w:p>
      <w:pPr>
        <w:pStyle w:val="4379"/>
        <w:jc w:val="both"/>
        <w:rPr>
          <w:sz w:val="18"/>
          <w:szCs w:val="18"/>
        </w:rPr>
      </w:pPr>
      <w:r>
        <w:rPr>
          <w:rStyle w:val="4381"/>
          <w:sz w:val="18"/>
          <w:szCs w:val="18"/>
        </w:rPr>
        <w:footnoteRef/>
      </w:r>
      <w:r>
        <w:rPr>
          <w:sz w:val="18"/>
          <w:szCs w:val="18"/>
        </w:rPr>
        <w:t xml:space="preserve"> Нормированный </w:t>
      </w:r>
      <w:r>
        <w:rPr>
          <w:sz w:val="18"/>
          <w:szCs w:val="18"/>
        </w:rPr>
        <w:t xml:space="preserve">страховой запас</w:t>
      </w:r>
      <w:r>
        <w:rPr>
          <w:sz w:val="18"/>
          <w:szCs w:val="18"/>
        </w:rPr>
        <w:t xml:space="preserve"> Фонда</w:t>
      </w:r>
      <w:r>
        <w:rPr>
          <w:sz w:val="18"/>
          <w:szCs w:val="18"/>
        </w:rPr>
        <w:t xml:space="preserve"> (далее – НСЗ)</w:t>
      </w:r>
      <w:r>
        <w:rPr>
          <w:sz w:val="18"/>
          <w:szCs w:val="18"/>
        </w:rPr>
        <w:t xml:space="preserve">;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6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Счетная палата Чукотского автономного округа (далее – Счетная палата)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47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Бюджетн</w:t>
      </w:r>
      <w:r>
        <w:rPr>
          <w:rFonts w:ascii="Times New Roman" w:hAnsi="Times New Roman" w:cs="Times New Roman"/>
          <w:sz w:val="22"/>
          <w:szCs w:val="22"/>
        </w:rPr>
        <w:t xml:space="preserve">ый</w:t>
      </w:r>
      <w:r>
        <w:rPr>
          <w:rFonts w:ascii="Times New Roman" w:hAnsi="Times New Roman" w:cs="Times New Roman"/>
          <w:sz w:val="22"/>
          <w:szCs w:val="22"/>
        </w:rPr>
        <w:t xml:space="preserve"> кодекс Российской Федерации (далее – Бюджетный кодекс)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48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Закон Чукотского автономного округа от 24 мая 2002 года № 31-ОЗ «О бюджетном процессе в Чукотском автономном округе» (далее – Закон о бюджетном процессе)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49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Закон Чукотского</w:t>
      </w:r>
      <w:r>
        <w:rPr>
          <w:rFonts w:ascii="Times New Roman" w:hAnsi="Times New Roman" w:cs="Times New Roman"/>
          <w:sz w:val="22"/>
          <w:szCs w:val="22"/>
        </w:rPr>
        <w:t xml:space="preserve"> автономного округа от 30 июня 1998 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36-ОЗ «О Счетной палате Чукотского автономного округа» (далее – Закон о Счетной палате)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50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С</w:t>
      </w:r>
      <w:r>
        <w:rPr>
          <w:rFonts w:ascii="Times New Roman" w:hAnsi="Times New Roman" w:eastAsia="Times New Roman" w:cs="Times New Roman"/>
        </w:rPr>
        <w:t xml:space="preserve">тандарт финансового контроля «Внешняя проверка годового отчета об исполнении окружного бюджета Чукотского автономного округа» </w:t>
      </w:r>
      <w:r>
        <w:rPr>
          <w:rFonts w:ascii="Times New Roman" w:hAnsi="Times New Roman" w:cs="Times New Roman"/>
        </w:rPr>
        <w:t xml:space="preserve">(СВГФК 114) </w:t>
      </w:r>
      <w:r>
        <w:rPr>
          <w:rFonts w:ascii="Times New Roman" w:hAnsi="Times New Roman" w:eastAsia="Times New Roman" w:cs="Times New Roman"/>
        </w:rPr>
        <w:t xml:space="preserve">утвержден Приказом Счетной палаты от </w:t>
      </w:r>
      <w:r>
        <w:rPr>
          <w:rFonts w:ascii="Times New Roman" w:hAnsi="Times New Roman" w:eastAsia="Times New Roman" w:cs="Times New Roman"/>
        </w:rPr>
        <w:t xml:space="preserve">18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марта</w:t>
      </w:r>
      <w:r>
        <w:rPr>
          <w:rFonts w:ascii="Times New Roman" w:hAnsi="Times New Roman" w:eastAsia="Times New Roman" w:cs="Times New Roman"/>
        </w:rPr>
        <w:t xml:space="preserve"> 20</w:t>
      </w:r>
      <w:r>
        <w:rPr>
          <w:rFonts w:ascii="Times New Roman" w:hAnsi="Times New Roman" w:eastAsia="Times New Roman" w:cs="Times New Roman"/>
        </w:rPr>
        <w:t xml:space="preserve">25</w:t>
      </w:r>
      <w:r>
        <w:rPr>
          <w:rFonts w:ascii="Times New Roman" w:hAnsi="Times New Roman" w:eastAsia="Times New Roman" w:cs="Times New Roman"/>
        </w:rPr>
        <w:t xml:space="preserve"> года №</w:t>
      </w:r>
      <w:r>
        <w:rPr>
          <w:rFonts w:ascii="Times New Roman" w:hAnsi="Times New Roman" w:eastAsia="Times New Roman" w:cs="Times New Roman"/>
        </w:rPr>
        <w:t xml:space="preserve"> 21</w:t>
      </w:r>
      <w:r>
        <w:rPr>
          <w:rFonts w:ascii="Times New Roman" w:hAnsi="Times New Roman" w:eastAsia="Times New Roman" w:cs="Times New Roman"/>
        </w:rPr>
        <w:t xml:space="preserve">-о/д (рассмотрен и одобрен решением Коллегии Счетной палаты (протокол от 18 марта 2025 года №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7)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51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Инструкция о порядке</w:t>
      </w:r>
      <w:r>
        <w:rPr>
          <w:rFonts w:ascii="Times New Roman" w:hAnsi="Times New Roman" w:eastAsia="Times New Roman" w:cs="Times New Roman"/>
        </w:rPr>
        <w:t xml:space="preserve"> составления и представления годовой, квартальной и месячной отчетности об исполнении бюджетов бюджетной системы Российской Федерации утверждена Приказом Министерства финансов Российской Федерации от 28 декабря 2010 года №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191н (далее – Инструкция №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191н)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52">
    <w:p>
      <w:pPr>
        <w:pStyle w:val="4379"/>
        <w:ind w:firstLine="284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Закон Чукотского автономного округа </w:t>
      </w:r>
      <w:r>
        <w:rPr>
          <w:rFonts w:ascii="Times New Roman" w:hAnsi="Times New Roman" w:cs="Times New Roman"/>
          <w:sz w:val="22"/>
          <w:szCs w:val="22"/>
        </w:rPr>
        <w:t xml:space="preserve">от 4</w:t>
      </w:r>
      <w:r>
        <w:rPr>
          <w:rFonts w:ascii="Times New Roman" w:hAnsi="Times New Roman" w:cs="Times New Roman"/>
          <w:sz w:val="22"/>
          <w:szCs w:val="22"/>
        </w:rPr>
        <w:t xml:space="preserve"> декабря </w:t>
      </w:r>
      <w:r>
        <w:rPr>
          <w:rFonts w:ascii="Times New Roman" w:hAnsi="Times New Roman" w:cs="Times New Roman"/>
          <w:sz w:val="22"/>
          <w:szCs w:val="22"/>
        </w:rPr>
        <w:t xml:space="preserve">2024</w:t>
      </w:r>
      <w:r>
        <w:rPr>
          <w:rFonts w:ascii="Times New Roman" w:hAnsi="Times New Roman" w:cs="Times New Roman"/>
          <w:sz w:val="22"/>
          <w:szCs w:val="22"/>
        </w:rPr>
        <w:t xml:space="preserve"> года № </w:t>
      </w:r>
      <w:r>
        <w:rPr>
          <w:rFonts w:ascii="Times New Roman" w:hAnsi="Times New Roman" w:cs="Times New Roman"/>
          <w:sz w:val="22"/>
          <w:szCs w:val="22"/>
        </w:rPr>
        <w:t xml:space="preserve">64-ОЗ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в редакции от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19</w:t>
      </w:r>
      <w:r>
        <w:rPr>
          <w:rFonts w:ascii="Times New Roman" w:hAnsi="Times New Roman" w:cs="Times New Roman"/>
          <w:sz w:val="22"/>
          <w:szCs w:val="22"/>
        </w:rPr>
        <w:t xml:space="preserve"> декабря </w:t>
      </w:r>
      <w:r>
        <w:rPr>
          <w:rFonts w:ascii="Times New Roman" w:hAnsi="Times New Roman" w:cs="Times New Roman"/>
          <w:sz w:val="22"/>
          <w:szCs w:val="22"/>
        </w:rPr>
        <w:t xml:space="preserve">2025 года № 86-ОЗ) «Об окружном бюджете на 2025 год и на плановый период 2026 и 2027 годов» (далее – Закон об окружном бюджете)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</w:footnote>
  <w:footnote w:id="53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Распоряжение Правительства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  <w:t xml:space="preserve"> от 2 декабря 2024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495-рп «О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прогнозе социально-экономического развития Чукотского автономного округа на 2025 год и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плановый период 2026 и 2027 годов»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54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Распоряжение Правительства Чукотского автономного округа от </w:t>
      </w:r>
      <w:r>
        <w:rPr>
          <w:rFonts w:ascii="Times New Roman" w:hAnsi="Times New Roman" w:cs="Times New Roman"/>
          <w:sz w:val="22"/>
          <w:szCs w:val="22"/>
        </w:rPr>
        <w:t xml:space="preserve">28 ноября </w:t>
      </w:r>
      <w:r>
        <w:rPr>
          <w:rFonts w:ascii="Times New Roman" w:hAnsi="Times New Roman" w:cs="Times New Roman"/>
          <w:sz w:val="22"/>
          <w:szCs w:val="22"/>
        </w:rPr>
        <w:t xml:space="preserve">202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 года №</w:t>
      </w:r>
      <w:r>
        <w:rPr>
          <w:rFonts w:ascii="Times New Roman" w:hAnsi="Times New Roman" w:cs="Times New Roman"/>
          <w:sz w:val="22"/>
          <w:szCs w:val="22"/>
        </w:rPr>
        <w:t xml:space="preserve"> 556-</w:t>
      </w:r>
      <w:r>
        <w:rPr>
          <w:rFonts w:ascii="Times New Roman" w:hAnsi="Times New Roman" w:cs="Times New Roman"/>
          <w:sz w:val="22"/>
          <w:szCs w:val="22"/>
        </w:rPr>
        <w:t xml:space="preserve">рп «О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прогнозе социально-экономического развития Чукотского автономного округа на 202</w:t>
      </w:r>
      <w:r>
        <w:rPr>
          <w:rFonts w:ascii="Times New Roman" w:hAnsi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  <w:t xml:space="preserve"> год и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плановый период 202</w:t>
      </w:r>
      <w:r>
        <w:rPr>
          <w:rFonts w:ascii="Times New Roman" w:hAnsi="Times New Roman" w:cs="Times New Roman"/>
          <w:sz w:val="22"/>
          <w:szCs w:val="22"/>
        </w:rPr>
        <w:t xml:space="preserve">7</w:t>
      </w:r>
      <w:r>
        <w:rPr>
          <w:rFonts w:ascii="Times New Roman" w:hAnsi="Times New Roman" w:cs="Times New Roman"/>
          <w:sz w:val="22"/>
          <w:szCs w:val="22"/>
        </w:rPr>
        <w:t xml:space="preserve"> и 202</w:t>
      </w: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 годов»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55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По данным Аналитической записки по итогам социально-экономического развития Чукотского автономного округа за 202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 год (подготовлена Департаментом экономики и инвестиций Чукотского автономного округа)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56">
    <w:p>
      <w:pPr>
        <w:pStyle w:val="4379"/>
        <w:ind w:firstLine="284"/>
        <w:jc w:val="both"/>
        <w:rPr>
          <w:rStyle w:val="4381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Постановление Правительства Чукотского автономного округа от 26</w:t>
      </w:r>
      <w:r>
        <w:rPr>
          <w:rFonts w:ascii="Times New Roman" w:hAnsi="Times New Roman"/>
          <w:sz w:val="22"/>
          <w:szCs w:val="22"/>
        </w:rPr>
        <w:t xml:space="preserve"> августа </w:t>
      </w:r>
      <w:r>
        <w:rPr>
          <w:rFonts w:ascii="Times New Roman" w:hAnsi="Times New Roman"/>
          <w:sz w:val="22"/>
          <w:szCs w:val="22"/>
        </w:rPr>
        <w:t xml:space="preserve">2024</w:t>
      </w:r>
      <w:r>
        <w:rPr>
          <w:rFonts w:ascii="Times New Roman" w:hAnsi="Times New Roman"/>
          <w:sz w:val="22"/>
          <w:szCs w:val="22"/>
        </w:rPr>
        <w:t xml:space="preserve"> года № </w:t>
      </w:r>
      <w:r>
        <w:rPr>
          <w:rFonts w:ascii="Times New Roman" w:hAnsi="Times New Roman"/>
          <w:sz w:val="22"/>
          <w:szCs w:val="22"/>
        </w:rPr>
        <w:t xml:space="preserve">294</w:t>
      </w:r>
      <w:r>
        <w:rPr>
          <w:rFonts w:ascii="Times New Roman" w:hAnsi="Times New Roman"/>
          <w:sz w:val="22"/>
          <w:szCs w:val="22"/>
        </w:rPr>
        <w:t xml:space="preserve"> «</w:t>
      </w:r>
      <w:r>
        <w:rPr>
          <w:rFonts w:ascii="Times New Roman" w:hAnsi="Times New Roman"/>
          <w:sz w:val="22"/>
          <w:szCs w:val="22"/>
        </w:rPr>
        <w:t xml:space="preserve">Об установлении величины прожиточного минимума на душу населения и по основным социально-демографическим группам населения в целом по Чукотскому автономному округу на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2025 год</w:t>
      </w:r>
      <w:r>
        <w:rPr>
          <w:rFonts w:ascii="Times New Roman" w:hAnsi="Times New Roman"/>
          <w:sz w:val="22"/>
          <w:szCs w:val="22"/>
        </w:rPr>
        <w:t xml:space="preserve">»</w:t>
      </w:r>
      <w:r>
        <w:rPr>
          <w:rStyle w:val="4381"/>
        </w:rPr>
      </w:r>
      <w:r>
        <w:rPr>
          <w:rStyle w:val="4381"/>
        </w:rPr>
      </w:r>
    </w:p>
  </w:footnote>
  <w:footnote w:id="57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eastAsia="TimesNewRomanPSMT" w:cs="Times New Roman"/>
          <w:sz w:val="22"/>
          <w:szCs w:val="22"/>
          <w:lang w:eastAsia="en-US"/>
        </w:rPr>
        <w:t xml:space="preserve">По данным Единого реестра субъектов малого и среднего предпринимательства (</w:t>
      </w:r>
      <w:r>
        <w:rPr>
          <w:rFonts w:ascii="Times New Roman" w:hAnsi="Times New Roman" w:cs="Times New Roman"/>
          <w:sz w:val="22"/>
          <w:szCs w:val="22"/>
        </w:rPr>
        <w:t xml:space="preserve">https://ofd.nalog.ru/statistics.html?statDate=&amp;level=0&amp;fo=8&amp;ssrf=87)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58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eastAsia="TimesNewRomanPSMT" w:cs="Times New Roman"/>
          <w:sz w:val="22"/>
          <w:szCs w:val="22"/>
          <w:lang w:eastAsia="en-US"/>
        </w:rPr>
        <w:t xml:space="preserve">По данным Единого реестра субъектов малого и среднего предпринимательства раздел «Статистика» (https://ofd.nalog.ru/statistics2.html?t=1762325498724)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59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Федеральный закон от 27</w:t>
      </w:r>
      <w:r>
        <w:rPr>
          <w:rFonts w:ascii="Times New Roman" w:hAnsi="Times New Roman" w:cs="Times New Roman"/>
          <w:sz w:val="22"/>
          <w:szCs w:val="22"/>
        </w:rPr>
        <w:t xml:space="preserve"> ноября </w:t>
      </w:r>
      <w:r>
        <w:rPr>
          <w:rFonts w:ascii="Times New Roman" w:hAnsi="Times New Roman" w:cs="Times New Roman"/>
          <w:sz w:val="22"/>
          <w:szCs w:val="22"/>
        </w:rPr>
        <w:t xml:space="preserve">2018</w:t>
      </w:r>
      <w:r>
        <w:rPr>
          <w:rFonts w:ascii="Times New Roman" w:hAnsi="Times New Roman" w:cs="Times New Roman"/>
          <w:sz w:val="22"/>
          <w:szCs w:val="22"/>
        </w:rPr>
        <w:t xml:space="preserve"> года № </w:t>
      </w:r>
      <w:r>
        <w:rPr>
          <w:rFonts w:ascii="Times New Roman" w:hAnsi="Times New Roman" w:cs="Times New Roman"/>
          <w:sz w:val="22"/>
          <w:szCs w:val="22"/>
        </w:rPr>
        <w:t xml:space="preserve">422-ФЗ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 xml:space="preserve">О проведении эксперимента по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установлению специального налогового режима </w:t>
      </w:r>
      <w:r>
        <w:rPr>
          <w:rFonts w:ascii="Times New Roman" w:hAnsi="Times New Roman" w:cs="Times New Roman"/>
          <w:sz w:val="22"/>
          <w:szCs w:val="22"/>
        </w:rPr>
        <w:t xml:space="preserve">«</w:t>
      </w:r>
      <w:r>
        <w:rPr>
          <w:rFonts w:ascii="Times New Roman" w:hAnsi="Times New Roman" w:cs="Times New Roman"/>
          <w:sz w:val="22"/>
          <w:szCs w:val="22"/>
        </w:rPr>
        <w:t xml:space="preserve">Налог на профессиональный доход</w:t>
      </w:r>
      <w:r>
        <w:rPr>
          <w:rFonts w:ascii="Times New Roman" w:hAnsi="Times New Roman" w:cs="Times New Roman"/>
          <w:sz w:val="22"/>
          <w:szCs w:val="22"/>
        </w:rPr>
        <w:t xml:space="preserve">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60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Статья 215.1 Бюджетного кодекса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Порядок составления и ведения сводной бюджетной росписи окружного бюджета утвержден Приказом Департамента финансов и имущественных отношений Чукотского автономного округа от 21 марта 2024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86 «Об утверждении Порядка составления и ведения сводной бюджетной росписи окружного бюджета и бюджетных росписей главных распорядителей средств окружного бюджета (главных администраторов источников финансирования дефицита окружного бюджета)»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61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Закон об окружном бюджете на 202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 год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 редакции от </w:t>
      </w:r>
      <w:r>
        <w:rPr>
          <w:rFonts w:ascii="Times New Roman" w:hAnsi="Times New Roman" w:cs="Times New Roman"/>
          <w:sz w:val="22"/>
          <w:szCs w:val="22"/>
        </w:rPr>
        <w:t xml:space="preserve">19</w:t>
      </w:r>
      <w:r>
        <w:rPr>
          <w:rFonts w:ascii="Times New Roman" w:hAnsi="Times New Roman" w:cs="Times New Roman"/>
          <w:sz w:val="22"/>
          <w:szCs w:val="22"/>
        </w:rPr>
        <w:t xml:space="preserve"> ноября 202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 года №</w:t>
      </w:r>
      <w:r>
        <w:rPr>
          <w:rFonts w:ascii="Times New Roman" w:hAnsi="Times New Roman" w:cs="Times New Roman"/>
          <w:sz w:val="22"/>
          <w:szCs w:val="22"/>
        </w:rPr>
        <w:t xml:space="preserve"> 86</w:t>
      </w:r>
      <w:r>
        <w:rPr>
          <w:rFonts w:ascii="Times New Roman" w:hAnsi="Times New Roman" w:cs="Times New Roman"/>
          <w:sz w:val="22"/>
          <w:szCs w:val="22"/>
        </w:rPr>
        <w:t xml:space="preserve">-ОЗ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62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Утверждено сводной бюджетной росписью и отражено в Отчете об исполнении бюджета (форма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0503117) по графе 4 «Утвержденные бюджетные назначения»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63">
    <w:p>
      <w:pPr>
        <w:pStyle w:val="4379"/>
        <w:ind w:firstLine="284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Закон об окружном бюджете на 202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 год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 редакции от </w:t>
      </w:r>
      <w:r>
        <w:rPr>
          <w:rFonts w:ascii="Times New Roman" w:hAnsi="Times New Roman" w:cs="Times New Roman"/>
          <w:sz w:val="22"/>
          <w:szCs w:val="22"/>
        </w:rPr>
        <w:t xml:space="preserve">19</w:t>
      </w:r>
      <w:r>
        <w:rPr>
          <w:rFonts w:ascii="Times New Roman" w:hAnsi="Times New Roman" w:cs="Times New Roman"/>
          <w:sz w:val="22"/>
          <w:szCs w:val="22"/>
        </w:rPr>
        <w:t xml:space="preserve"> ноября 202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 года №</w:t>
      </w:r>
      <w:r>
        <w:rPr>
          <w:rFonts w:ascii="Times New Roman" w:hAnsi="Times New Roman" w:cs="Times New Roman"/>
          <w:sz w:val="22"/>
          <w:szCs w:val="22"/>
        </w:rPr>
        <w:t xml:space="preserve"> 86</w:t>
      </w:r>
      <w:r>
        <w:rPr>
          <w:rFonts w:ascii="Times New Roman" w:hAnsi="Times New Roman" w:cs="Times New Roman"/>
          <w:sz w:val="22"/>
          <w:szCs w:val="22"/>
        </w:rPr>
        <w:t xml:space="preserve">-ОЗ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64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Постановление Правительства Чукотского автономного округа от 23 января 2012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21 «О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Порядке осуществления органами государственной власти (государственными органами) Чукотского автономного о</w:t>
      </w:r>
      <w:r>
        <w:rPr>
          <w:rFonts w:ascii="Times New Roman" w:hAnsi="Times New Roman"/>
          <w:sz w:val="22"/>
          <w:szCs w:val="22"/>
        </w:rPr>
        <w:t xml:space="preserve">круга и (или) находящимися в их ведении казенными учреждениями, органом управления Чукотским территориальным фондом обязательного медицинского страхования бюджетных полномочий главных администраторов доходов бюджетов бюджетной системы Российской Федерации»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65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Распоряжение Правительства Чукотского автономного округа от 30 декабря 2021 года 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560-рп «Об утверждении перечней главных администраторов доходов окружного бюджета, бюджета Чукотского территориального фонда обязательного медицинского страхования, главных администраторов </w:t>
      </w:r>
      <w:r>
        <w:rPr>
          <w:rFonts w:ascii="Times New Roman" w:hAnsi="Times New Roman"/>
          <w:sz w:val="22"/>
          <w:szCs w:val="22"/>
        </w:rPr>
        <w:t xml:space="preserve">источников финансирования дефицита окружного бюджета, бюджета Чукотского территориального фонда обязательного медицинского страхования, порядка и сроков внесения изменений в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перечни</w:t>
      </w:r>
      <w:r>
        <w:rPr>
          <w:rFonts w:ascii="Times New Roman" w:hAnsi="Times New Roman"/>
          <w:sz w:val="22"/>
          <w:szCs w:val="22"/>
        </w:rPr>
        <w:t xml:space="preserve">»  (далее – перечень главных администраторов доходов окружного бюджета)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Приказ Департамента финансов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и имущественных отношений Чукотского автономного округа </w:t>
      </w:r>
      <w:r>
        <w:rPr>
          <w:rFonts w:ascii="Times New Roman" w:hAnsi="Times New Roman"/>
          <w:sz w:val="22"/>
          <w:szCs w:val="22"/>
        </w:rPr>
        <w:t xml:space="preserve">от 28 декабря 2024 года № 261 (в редакции от 17 декабря 2025 года № 256) </w:t>
      </w:r>
      <w:r>
        <w:rPr>
          <w:rFonts w:ascii="Times New Roman" w:hAnsi="Times New Roman"/>
          <w:sz w:val="22"/>
          <w:szCs w:val="22"/>
        </w:rPr>
        <w:t xml:space="preserve">«Об утверждении Перечня главных администраторов доходов</w:t>
      </w:r>
      <w:r>
        <w:rPr>
          <w:rFonts w:ascii="Times New Roman" w:hAnsi="Times New Roman"/>
          <w:sz w:val="22"/>
          <w:szCs w:val="22"/>
        </w:rPr>
        <w:t xml:space="preserve"> окружного бюджета и Чукотского территориального фонда обязательного медицинского страхования на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202</w:t>
      </w:r>
      <w:r>
        <w:rPr>
          <w:rFonts w:ascii="Times New Roman" w:hAnsi="Times New Roman"/>
          <w:sz w:val="22"/>
          <w:szCs w:val="22"/>
        </w:rPr>
        <w:t xml:space="preserve">5</w:t>
      </w:r>
      <w:r>
        <w:rPr>
          <w:rFonts w:ascii="Times New Roman" w:hAnsi="Times New Roman"/>
          <w:sz w:val="22"/>
          <w:szCs w:val="22"/>
        </w:rPr>
        <w:t xml:space="preserve"> год»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66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 w:eastAsia="Calibri"/>
          <w:sz w:val="22"/>
          <w:szCs w:val="22"/>
        </w:rPr>
        <w:t xml:space="preserve">Федеральный закон от</w:t>
      </w:r>
      <w:r>
        <w:rPr>
          <w:rFonts w:ascii="Times New Roman" w:hAnsi="Times New Roman" w:eastAsia="Calibri"/>
          <w:sz w:val="22"/>
          <w:szCs w:val="22"/>
        </w:rPr>
        <w:t xml:space="preserve"> </w:t>
      </w:r>
      <w:r>
        <w:rPr>
          <w:rFonts w:ascii="Times New Roman" w:hAnsi="Times New Roman" w:eastAsia="Calibri"/>
          <w:sz w:val="22"/>
          <w:szCs w:val="22"/>
        </w:rPr>
        <w:t xml:space="preserve">29</w:t>
      </w:r>
      <w:r>
        <w:rPr>
          <w:rFonts w:ascii="Times New Roman" w:hAnsi="Times New Roman" w:eastAsia="Calibri"/>
          <w:sz w:val="22"/>
          <w:szCs w:val="22"/>
        </w:rPr>
        <w:t xml:space="preserve"> </w:t>
      </w:r>
      <w:r>
        <w:rPr>
          <w:rFonts w:ascii="Times New Roman" w:hAnsi="Times New Roman" w:eastAsia="Calibri"/>
          <w:sz w:val="22"/>
          <w:szCs w:val="22"/>
        </w:rPr>
        <w:t xml:space="preserve">декабря</w:t>
      </w:r>
      <w:r>
        <w:rPr>
          <w:rFonts w:ascii="Times New Roman" w:hAnsi="Times New Roman" w:eastAsia="Calibri"/>
          <w:sz w:val="22"/>
          <w:szCs w:val="22"/>
        </w:rPr>
        <w:t xml:space="preserve"> </w:t>
      </w:r>
      <w:r>
        <w:rPr>
          <w:rFonts w:ascii="Times New Roman" w:hAnsi="Times New Roman" w:eastAsia="Calibri"/>
          <w:sz w:val="22"/>
          <w:szCs w:val="22"/>
        </w:rPr>
        <w:t xml:space="preserve">2014</w:t>
      </w:r>
      <w:r>
        <w:rPr>
          <w:rFonts w:ascii="Times New Roman" w:hAnsi="Times New Roman" w:eastAsia="Calibri"/>
          <w:sz w:val="22"/>
          <w:szCs w:val="22"/>
        </w:rPr>
        <w:t xml:space="preserve"> </w:t>
      </w:r>
      <w:r>
        <w:rPr>
          <w:rFonts w:ascii="Times New Roman" w:hAnsi="Times New Roman" w:eastAsia="Calibri"/>
          <w:sz w:val="22"/>
          <w:szCs w:val="22"/>
        </w:rPr>
        <w:t xml:space="preserve">года №</w:t>
      </w:r>
      <w:r>
        <w:rPr>
          <w:rFonts w:ascii="Times New Roman" w:hAnsi="Times New Roman" w:eastAsia="Calibri"/>
          <w:sz w:val="22"/>
          <w:szCs w:val="22"/>
        </w:rPr>
        <w:t xml:space="preserve"> </w:t>
      </w:r>
      <w:r>
        <w:rPr>
          <w:rFonts w:ascii="Times New Roman" w:hAnsi="Times New Roman" w:eastAsia="Calibri"/>
          <w:sz w:val="22"/>
          <w:szCs w:val="22"/>
        </w:rPr>
        <w:t xml:space="preserve">473-ФЗ «О территориях опережающего развития в</w:t>
      </w:r>
      <w:r>
        <w:rPr>
          <w:rFonts w:ascii="Times New Roman" w:hAnsi="Times New Roman" w:eastAsia="Calibri"/>
          <w:sz w:val="22"/>
          <w:szCs w:val="22"/>
        </w:rPr>
        <w:t xml:space="preserve"> </w:t>
      </w:r>
      <w:r>
        <w:rPr>
          <w:rFonts w:ascii="Times New Roman" w:hAnsi="Times New Roman" w:eastAsia="Calibri"/>
          <w:sz w:val="22"/>
          <w:szCs w:val="22"/>
        </w:rPr>
        <w:t xml:space="preserve">Российской Федерации» и Постановление Правительства Российской Федерации от 21 августа 2015</w:t>
      </w:r>
      <w:r>
        <w:rPr>
          <w:rFonts w:ascii="Times New Roman" w:hAnsi="Times New Roman" w:eastAsia="Calibri"/>
          <w:sz w:val="22"/>
          <w:szCs w:val="22"/>
        </w:rPr>
        <w:t xml:space="preserve"> </w:t>
      </w:r>
      <w:r>
        <w:rPr>
          <w:rFonts w:ascii="Times New Roman" w:hAnsi="Times New Roman" w:eastAsia="Calibri"/>
          <w:sz w:val="22"/>
          <w:szCs w:val="22"/>
        </w:rPr>
        <w:t xml:space="preserve">года №</w:t>
      </w:r>
      <w:r>
        <w:rPr>
          <w:rFonts w:ascii="Times New Roman" w:hAnsi="Times New Roman" w:eastAsia="Calibri"/>
          <w:sz w:val="22"/>
          <w:szCs w:val="22"/>
        </w:rPr>
        <w:t xml:space="preserve"> </w:t>
      </w:r>
      <w:r>
        <w:rPr>
          <w:rFonts w:ascii="Times New Roman" w:hAnsi="Times New Roman" w:eastAsia="Calibri"/>
          <w:sz w:val="22"/>
          <w:szCs w:val="22"/>
        </w:rPr>
        <w:t xml:space="preserve">876 «О создании территории опережающего</w:t>
      </w:r>
      <w:r>
        <w:rPr>
          <w:rFonts w:ascii="Times New Roman" w:hAnsi="Times New Roman" w:eastAsia="Calibri"/>
          <w:sz w:val="22"/>
          <w:szCs w:val="22"/>
        </w:rPr>
        <w:t xml:space="preserve"> </w:t>
      </w:r>
      <w:r>
        <w:rPr>
          <w:rFonts w:ascii="Times New Roman" w:hAnsi="Times New Roman" w:eastAsia="Calibri"/>
          <w:sz w:val="22"/>
          <w:szCs w:val="22"/>
        </w:rPr>
        <w:t xml:space="preserve">развития «Чукотка»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67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Постановление Правительства Российской Федерации от 21 августа 2015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876 «О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создании территории опережающего развития «Чукотка»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68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Федеральный закон от 13 июля 2015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212-ФЗ «О свободном порте Владивосток»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69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Указ Президента Российской Федерации от 2 мая 2014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296 «О сухопутных территориях Арктической зоны Российской Федерации» и Федеральный закон 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от 13 июля 2020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193-ФЗ «О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государственной поддержке предпринимательской деятельности в Арктической зоне Российской Федерации»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70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Постановление Правительства Российской Федерации от 30 апреля 2015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432 «Об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управляющей ком</w:t>
      </w:r>
      <w:r>
        <w:rPr>
          <w:rFonts w:ascii="Times New Roman" w:hAnsi="Times New Roman"/>
          <w:sz w:val="22"/>
          <w:szCs w:val="22"/>
        </w:rPr>
        <w:t xml:space="preserve">пании, осуществляющей функции по управлению Арктической зоной Российской Федерации, а также территориями опережающего развития в субъектах Российской Федерации, входящих в состав Дальневосточного федерального округа, Арктической зоне Российской Федерации и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свободным портом Владивосток»; Постановление Правительства Российской Федерации от 16 ноября 2020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1835 «Об акционерном обществе «Корпорация развития Дальнего Востока и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Арктики» и о внесении изменений в некоторые акты Правительства Российской Федерации»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71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https://erdc.ru/dzo/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72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По</w:t>
      </w:r>
      <w:r>
        <w:rPr>
          <w:rFonts w:ascii="Times New Roman" w:hAnsi="Times New Roman"/>
          <w:sz w:val="22"/>
          <w:szCs w:val="22"/>
        </w:rPr>
        <w:t xml:space="preserve">становление Правительства Чукотского автономного округа от 23 марта 2012 года № 120 «О подведомственности получателей средств окружного бюджета главным распорядителям (распорядителям) средств окружного бюджета и ведомственной подчиненности государственных </w:t>
      </w:r>
      <w:r>
        <w:rPr>
          <w:rFonts w:ascii="Times New Roman" w:hAnsi="Times New Roman" w:cs="Times New Roman"/>
          <w:sz w:val="22"/>
          <w:szCs w:val="22"/>
        </w:rPr>
        <w:t xml:space="preserve">учреждений и государственных предприятий Чукотского автономного округа»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73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Государственное предприятие Чукотского автономного округа «</w:t>
      </w:r>
      <w:r>
        <w:rPr>
          <w:rFonts w:ascii="Times New Roman" w:hAnsi="Times New Roman" w:cs="Times New Roman"/>
          <w:sz w:val="22"/>
          <w:szCs w:val="22"/>
        </w:rPr>
        <w:t xml:space="preserve">Чукоткоммунхоз</w:t>
      </w:r>
      <w:r>
        <w:rPr>
          <w:rFonts w:ascii="Times New Roman" w:hAnsi="Times New Roman" w:cs="Times New Roman"/>
          <w:sz w:val="22"/>
          <w:szCs w:val="22"/>
        </w:rPr>
        <w:t xml:space="preserve">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74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Общество с ограниченной ответственностью «ТЕПЛО ДОМ УРАЛ»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 xml:space="preserve">далее – ООО</w:t>
      </w:r>
      <w:r>
        <w:t xml:space="preserve"> «</w:t>
      </w:r>
      <w:r>
        <w:rPr>
          <w:rFonts w:ascii="Times New Roman" w:hAnsi="Times New Roman" w:cs="Times New Roman"/>
          <w:sz w:val="22"/>
          <w:szCs w:val="22"/>
        </w:rPr>
        <w:t xml:space="preserve">ТЕПЛО ДОМ УРАЛ»)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75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Акт по результатам проверки </w:t>
      </w:r>
      <w:r>
        <w:rPr>
          <w:rFonts w:ascii="Times New Roman" w:hAnsi="Times New Roman"/>
          <w:sz w:val="22"/>
          <w:szCs w:val="22"/>
        </w:rPr>
        <w:t xml:space="preserve">Автономно</w:t>
      </w:r>
      <w:r>
        <w:rPr>
          <w:rFonts w:ascii="Times New Roman" w:hAnsi="Times New Roman"/>
          <w:sz w:val="22"/>
          <w:szCs w:val="22"/>
        </w:rPr>
        <w:t xml:space="preserve">го</w:t>
      </w:r>
      <w:r>
        <w:rPr>
          <w:rFonts w:ascii="Times New Roman" w:hAnsi="Times New Roman"/>
          <w:sz w:val="22"/>
          <w:szCs w:val="22"/>
        </w:rPr>
        <w:t xml:space="preserve"> учреждени</w:t>
      </w:r>
      <w:r>
        <w:rPr>
          <w:rFonts w:ascii="Times New Roman" w:hAnsi="Times New Roman"/>
          <w:sz w:val="22"/>
          <w:szCs w:val="22"/>
        </w:rPr>
        <w:t xml:space="preserve">я</w:t>
      </w:r>
      <w:r>
        <w:rPr>
          <w:rFonts w:ascii="Times New Roman" w:hAnsi="Times New Roman"/>
          <w:sz w:val="22"/>
          <w:szCs w:val="22"/>
        </w:rPr>
        <w:t xml:space="preserve"> Чукотского автономного округа «Управление технического обеспечения и эксплуатации имущества Чукотского автономного округа»</w:t>
      </w:r>
      <w:r>
        <w:rPr>
          <w:rFonts w:ascii="Times New Roman" w:hAnsi="Times New Roman"/>
          <w:sz w:val="22"/>
          <w:szCs w:val="22"/>
        </w:rPr>
        <w:t xml:space="preserve"> от 5 мая 2025 года б/н (Приказ Аппарата Г</w:t>
      </w:r>
      <w:r>
        <w:rPr>
          <w:rFonts w:ascii="Times New Roman" w:hAnsi="Times New Roman"/>
          <w:sz w:val="22"/>
          <w:szCs w:val="22"/>
        </w:rPr>
        <w:t xml:space="preserve">убернатора и Правительства Чукотского автономного округа от 28 декабря 2024 года № 233-од «О проведении плановых проверок финансово-хозяйственной деятельности учреждений, подведомственных Аппарату Губернатора и Правительства Чукотского автономного округа»)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76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Департамент культуры и туризма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77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Департамент сельского хозяйства и продовольствия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78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Департамент социальной политики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79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Департамент строительства и жилищно-коммунального хозяйства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80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Департамент социальной политики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81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Департамент социальной политики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82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Департамент образования и науки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83">
    <w:p>
      <w:pPr>
        <w:pStyle w:val="4379"/>
        <w:ind w:firstLine="284"/>
        <w:jc w:val="both"/>
        <w:rPr>
          <w:rFonts w:ascii="Times New Roman" w:hAnsi="Times New Roman" w:eastAsia="Calibri" w:cs="Times New Roman"/>
          <w:sz w:val="22"/>
          <w:szCs w:val="22"/>
          <w:lang w:eastAsia="en-US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В 2025 году Управлением Федерального казначейства по Чукотскому автономному округу проведена проверка использования средств федерального бюджета направленных на реализацию мероприятий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плана социального развития центров экономического роста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Приказ Управления Федерального казначейства по Чукотскому автономному округу 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br/>
        <w:t xml:space="preserve">от 3 июля 2025 года № 97 «О назначении плановой выездной проверки в Департамент экономики и инвестиций Чукотского автономного округа»)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</w:p>
  </w:footnote>
  <w:footnote w:id="84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Строительство объекта капитального строительства «Внутриплощадочные автомобильные дороги, внутриплощадочные сети теплоснабжения, водоснабжения, водоотведения и электроснабжения для промышленн</w:t>
      </w:r>
      <w:r>
        <w:rPr>
          <w:rFonts w:ascii="Times New Roman" w:hAnsi="Times New Roman" w:cs="Times New Roman"/>
          <w:sz w:val="22"/>
          <w:szCs w:val="22"/>
        </w:rPr>
        <w:t xml:space="preserve">ого парка «Анадырь» ТОР «Чукотка» в рамках реализации мероприятия «Обеспечение инженерной инфраструктурой промышленного парка «Анадырь» подпрограммы «Государственная поддержка малого и среднего предпринимательства» Государственной программы «Стимулирование</w:t>
      </w:r>
      <w:r>
        <w:rPr>
          <w:rFonts w:ascii="Times New Roman" w:hAnsi="Times New Roman" w:cs="Times New Roman"/>
          <w:sz w:val="22"/>
          <w:szCs w:val="22"/>
        </w:rPr>
        <w:t xml:space="preserve"> экономической активности населения Чукотского автономного округа», утвержденной Постановлением Правительства Чукотского автономного округа от 21 октября 2013 года № 410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85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Сводная бюджетная роспись (далее в таблицах – СБР)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86">
    <w:p>
      <w:pPr>
        <w:pStyle w:val="4379"/>
        <w:ind w:firstLine="284"/>
        <w:jc w:val="both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Постановление Правительства Чукотского </w:t>
      </w:r>
      <w:r>
        <w:rPr>
          <w:rFonts w:ascii="Times New Roman" w:hAnsi="Times New Roman" w:cs="Times New Roman"/>
          <w:sz w:val="22"/>
          <w:szCs w:val="22"/>
        </w:rPr>
        <w:t xml:space="preserve">автономного округа от 20 марта 2019 года № 142 «Об утверждении Порядка заключения соглашений о мерах по обеспечению устойчивого социально-экономического развития и оздоровления муниципальных финансов муниципальных образований Чукотского автономного округа»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87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Поряд</w:t>
      </w:r>
      <w:r>
        <w:rPr>
          <w:rFonts w:ascii="Times New Roman" w:hAnsi="Times New Roman" w:cs="Times New Roman"/>
          <w:sz w:val="22"/>
          <w:szCs w:val="22"/>
        </w:rPr>
        <w:t xml:space="preserve">о</w:t>
      </w:r>
      <w:r>
        <w:rPr>
          <w:rFonts w:ascii="Times New Roman" w:hAnsi="Times New Roman" w:cs="Times New Roman"/>
          <w:sz w:val="22"/>
          <w:szCs w:val="22"/>
        </w:rPr>
        <w:t xml:space="preserve">к предоставления дотаций на поддержку мер по обеспечению сбалансированности местных бюджетов Чукотского автономного округа утвержден Постановлением Правительства Чукотского автономного округа от 22 мая 2015 года № 294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88">
    <w:p>
      <w:pPr>
        <w:pStyle w:val="4379"/>
        <w:ind w:firstLine="284"/>
        <w:jc w:val="both"/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Правила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предоставления и распределения дотаций (грантов)</w:t>
      </w:r>
      <w:r>
        <w:rPr>
          <w:rFonts w:ascii="Times New Roman" w:hAnsi="Times New Roman" w:cs="Times New Roman"/>
          <w:sz w:val="22"/>
          <w:szCs w:val="22"/>
        </w:rPr>
        <w:t xml:space="preserve"> из окружного бюджета бюджетам муниципальных образований Чукотского автономного округа за достижение показателей деятельности органов местного самоуправления утверждены Постановлением Правительства Чукотского автономного округа от 16 апреля 2021 года № 108</w:t>
      </w:r>
      <w:r/>
    </w:p>
  </w:footnote>
  <w:footnote w:id="89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Распоряжение Правительства Чукотского автономного округа от 12 декабря 2024 года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br/>
        <w:t xml:space="preserve">№ 563-рп «Об утверждении предельного уровня софинансирования расходного обязательства муниципального образования из окружного бюджета по муниципальным образованиям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br/>
        <w:t xml:space="preserve">на 2025 год и на плановый период 2026 и 2027 годов»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90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Порядок предоставления из окружного бюджета субвенций местным бюджетам Чукотского автономного округа утвержден Постановлением</w:t>
      </w:r>
      <w:r>
        <w:rPr>
          <w:rFonts w:ascii="Times New Roman" w:hAnsi="Times New Roman"/>
          <w:sz w:val="22"/>
          <w:szCs w:val="22"/>
        </w:rPr>
        <w:t xml:space="preserve"> Правительства Чукотского автономного округа от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13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января 2022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5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91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Распоряжение Правительства Чукотского автономного округа от 13 сентября 2013 года</w:t>
      </w:r>
      <w:r>
        <w:rPr>
          <w:rFonts w:ascii="Times New Roman" w:hAnsi="Times New Roman"/>
          <w:sz w:val="22"/>
          <w:szCs w:val="22"/>
        </w:rPr>
        <w:br/>
        <w:t xml:space="preserve">№ 338-рп «Об утверждении Перечня государственных программ </w:t>
      </w:r>
      <w:r>
        <w:rPr>
          <w:rFonts w:ascii="Times New Roman" w:hAnsi="Times New Roman"/>
          <w:sz w:val="22"/>
          <w:szCs w:val="22"/>
        </w:rPr>
        <w:t xml:space="preserve">Чукотского автономного округа»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92">
    <w:p>
      <w:pPr>
        <w:pStyle w:val="4379"/>
        <w:ind w:firstLine="284"/>
        <w:jc w:val="both"/>
        <w:rPr>
          <w:rFonts w:ascii="Times New Roman" w:hAnsi="Times New Roman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Государственные программы Чукотского автономного округа (далее – Государственные программы)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93">
    <w:p>
      <w:pPr>
        <w:pStyle w:val="4378"/>
        <w:ind w:firstLine="284"/>
        <w:jc w:val="both"/>
        <w:spacing w:before="0" w:beforeAutospacing="0" w:after="0" w:afterAutospacing="0"/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Государственные программы «</w:t>
      </w:r>
      <w:r>
        <w:rPr>
          <w:sz w:val="22"/>
          <w:szCs w:val="22"/>
        </w:rPr>
        <w:t xml:space="preserve">Развитие образования и науки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Социальная поддержка населения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Развитие здравоохранения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Стимулирование экономической активности населения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Управление региональными финансами и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имуществом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Развитие энергетики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Формирование комфортной городской среды в Чукотском автономном округе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Охрана окружающей среды и обеспечение рационального природопользования в Чукотском автономном округе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Предупреждение чрезвычайных ситуаций природного и техногенного характера и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обеспечение пожарной безопасности в Чукотском автономном округе», «Обеспечение охраны общественного порядка и повышения безопасности дорожного движения в Чукотском автономном округе»</w:t>
      </w:r>
      <w:r/>
    </w:p>
  </w:footnote>
  <w:footnote w:id="94">
    <w:p>
      <w:pPr>
        <w:pStyle w:val="4526"/>
        <w:ind w:firstLine="284"/>
        <w:jc w:val="both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Государственн</w:t>
      </w:r>
      <w:r>
        <w:rPr>
          <w:rFonts w:ascii="Times New Roman" w:hAnsi="Times New Roman" w:cs="Times New Roman"/>
        </w:rPr>
        <w:t xml:space="preserve">ые</w:t>
      </w:r>
      <w:r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 xml:space="preserve">ы «</w:t>
      </w:r>
      <w:r>
        <w:rPr>
          <w:rFonts w:ascii="Times New Roman" w:hAnsi="Times New Roman" w:cs="Times New Roman"/>
        </w:rPr>
        <w:t xml:space="preserve">Развитие здравоохранения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Стимулирование экономической активности населения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агропромышленного комплекса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Информационное общество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жилищно-коммунального хозяйства и</w:t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водохозяйственного комплекса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образования и науки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лесного хозяйства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транспортной инфраструктуры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Управление региональными финансами и имуществом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жилищного строительства в Чукотском автономном округе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Предупреждение чрезвычайных ситуаций природного и техногенного характера и обеспечение пожарной безопасности в Чукотском автономном округе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Охрана окружающей среды и обеспечение рационального природопользования в Чукотском автономном округе»</w:t>
      </w:r>
      <w:r>
        <w:rPr>
          <w:rFonts w:ascii="Times New Roman" w:hAnsi="Times New Roman" w:cs="Times New Roman"/>
        </w:rPr>
        <w:t xml:space="preserve">, «</w:t>
      </w:r>
      <w:r>
        <w:rPr>
          <w:rFonts w:ascii="Times New Roman" w:hAnsi="Times New Roman" w:cs="Times New Roman"/>
        </w:rPr>
        <w:t xml:space="preserve">Развитие энергетики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Формирование комфортной городской среды в Чукотском автономном округе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95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С учетом прот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околов об административном правонарушении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96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Объекты «Центр культурного развития в г. Певек», «Школа в г. Анадырь», «Приобретение и</w:t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установка ФАП в с. Ламутское», «Приобретение и установка ФАП в с. Чуванское», «Дом культуры в с. Канчалан»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97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eastAsia="Calibri" w:cs="Times New Roman"/>
          <w:sz w:val="22"/>
          <w:szCs w:val="22"/>
        </w:rPr>
        <w:t xml:space="preserve">Объект «Дом культуры в с. Канчалан»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98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Закон Чукотского автономного округа от 26 сентября 2011 года №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75-ОЗ «О дорожном фонде Чукотского автономного округа»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99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Приказ Департамента финансов</w:t>
      </w:r>
      <w:r>
        <w:rPr>
          <w:rFonts w:ascii="Times New Roman" w:hAnsi="Times New Roman" w:cs="Times New Roman"/>
          <w:sz w:val="22"/>
          <w:szCs w:val="22"/>
        </w:rPr>
        <w:t xml:space="preserve"> и имущественных отношений Чукотского автономного округа</w:t>
      </w:r>
      <w:r>
        <w:rPr>
          <w:rFonts w:ascii="Times New Roman" w:hAnsi="Times New Roman" w:cs="Times New Roman"/>
          <w:sz w:val="22"/>
          <w:szCs w:val="22"/>
        </w:rPr>
        <w:t xml:space="preserve"> от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15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марта 2021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46 «Об утверждении формы отчета об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использовании средств дорожного фонда Чукотского автономного округа»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00">
    <w:p>
      <w:pPr>
        <w:pStyle w:val="4379"/>
        <w:ind w:firstLine="284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Постановление Правительства Чукотского автономного округа от 18 декабря 2001 года № 187 «Об утверждении Положения о порядке расходования средств резервного фонда Правительства Чукотского автономного округа на непредвиденные расходы»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</w:footnote>
  <w:footnote w:id="101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Порядок предоставления, использования и возврата муниципальными образованиями бюджетных кредитов, полученных из окружног</w:t>
      </w:r>
      <w:r>
        <w:rPr>
          <w:rFonts w:ascii="Times New Roman" w:hAnsi="Times New Roman"/>
          <w:sz w:val="22"/>
          <w:szCs w:val="22"/>
        </w:rPr>
        <w:t xml:space="preserve">о бюджета утвержден Постановлением Правительства Чукотского автономного округа от 10 июня 2022 года № 312 «О реализации отдельных полномочий по предоставлению из окружного бюджета бюджетных кредитов муниципальным образованиям Чукотского автономного округа»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102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оговор о предоставлении бюджетного кредита от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29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июля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года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№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 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05-01-08/61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03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оговор о предоставлении бюджетного кредита от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26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сентября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года №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 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05-01-08/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62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04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Договор о предоставлении бюджетного кредита от </w:t>
      </w:r>
      <w:r>
        <w:rPr>
          <w:rFonts w:ascii="Times New Roman" w:hAnsi="Times New Roman" w:cs="Times New Roman"/>
          <w:sz w:val="22"/>
          <w:szCs w:val="22"/>
        </w:rPr>
        <w:t xml:space="preserve">7 августа</w:t>
      </w:r>
      <w:r>
        <w:rPr>
          <w:rFonts w:ascii="Times New Roman" w:hAnsi="Times New Roman" w:cs="Times New Roman"/>
          <w:sz w:val="22"/>
          <w:szCs w:val="22"/>
        </w:rPr>
        <w:t xml:space="preserve"> 2025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05-01-08/</w:t>
      </w:r>
      <w:r>
        <w:rPr>
          <w:rFonts w:ascii="Times New Roman" w:hAnsi="Times New Roman" w:cs="Times New Roman"/>
          <w:sz w:val="22"/>
          <w:szCs w:val="22"/>
        </w:rPr>
        <w:t xml:space="preserve">63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05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Договор о предоставлении бюджетного кредита от </w:t>
      </w:r>
      <w:r>
        <w:rPr>
          <w:rFonts w:ascii="Times New Roman" w:hAnsi="Times New Roman" w:cs="Times New Roman"/>
          <w:sz w:val="22"/>
          <w:szCs w:val="22"/>
        </w:rPr>
        <w:t xml:space="preserve">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апреля</w:t>
      </w:r>
      <w:r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05-01-08/</w:t>
      </w:r>
      <w:r>
        <w:rPr>
          <w:rFonts w:ascii="Times New Roman" w:hAnsi="Times New Roman" w:cs="Times New Roman"/>
          <w:sz w:val="22"/>
          <w:szCs w:val="22"/>
        </w:rPr>
        <w:t xml:space="preserve">35 в сумме 908 000,0 тыс. рублей, договор о предоставлении бюджетного кредита от 22 июля 2025 года </w:t>
      </w:r>
      <w:r>
        <w:rPr>
          <w:rFonts w:ascii="Times New Roman" w:hAnsi="Times New Roman" w:cs="Times New Roman"/>
          <w:sz w:val="22"/>
          <w:szCs w:val="22"/>
        </w:rPr>
        <w:br/>
        <w:t xml:space="preserve">№</w:t>
      </w:r>
      <w: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05-01-08/58</w:t>
      </w:r>
      <w:r>
        <w:rPr>
          <w:rFonts w:ascii="Times New Roman" w:hAnsi="Times New Roman" w:cs="Times New Roman"/>
          <w:sz w:val="22"/>
          <w:szCs w:val="22"/>
        </w:rPr>
        <w:t xml:space="preserve"> в сумме 650 000,0 тыс. рублей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06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Договор о предоставлении бюджетного кредита от </w:t>
      </w:r>
      <w:r>
        <w:rPr>
          <w:rFonts w:ascii="Times New Roman" w:hAnsi="Times New Roman" w:cs="Times New Roman"/>
          <w:sz w:val="22"/>
          <w:szCs w:val="22"/>
        </w:rPr>
        <w:t xml:space="preserve">23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июня</w:t>
      </w:r>
      <w:r>
        <w:rPr>
          <w:rFonts w:ascii="Times New Roman" w:hAnsi="Times New Roman" w:cs="Times New Roman"/>
          <w:sz w:val="22"/>
          <w:szCs w:val="22"/>
        </w:rPr>
        <w:t xml:space="preserve"> 2025 года № 05-01-08/</w:t>
      </w:r>
      <w:r>
        <w:rPr>
          <w:rFonts w:ascii="Times New Roman" w:hAnsi="Times New Roman" w:cs="Times New Roman"/>
          <w:sz w:val="22"/>
          <w:szCs w:val="22"/>
        </w:rPr>
        <w:t xml:space="preserve">56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07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Исковые требования от 23 сентября 2025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07-1/3359, от 22 сентября 2025 года 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07-1/3360</w:t>
      </w:r>
      <w:r>
        <w:rPr>
          <w:rFonts w:ascii="Times New Roman" w:hAnsi="Times New Roman" w:cs="Times New Roman"/>
          <w:sz w:val="22"/>
          <w:szCs w:val="22"/>
        </w:rPr>
        <w:t xml:space="preserve"> и </w:t>
      </w:r>
      <w:r>
        <w:rPr>
          <w:rFonts w:ascii="Times New Roman" w:hAnsi="Times New Roman" w:cs="Times New Roman"/>
          <w:sz w:val="22"/>
          <w:szCs w:val="22"/>
        </w:rPr>
        <w:t xml:space="preserve">от 22 сентября 2025 года № 07-1/3361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08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Решения Арбитражного суда Чукотского автономного округа от 30 марта 2026 года по делу 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А80-638/2025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 взыскании задолженности с Непубличного акционерного общества «Чукотская торговая компания</w:t>
      </w:r>
      <w:r>
        <w:rPr>
          <w:rFonts w:ascii="Times New Roman" w:hAnsi="Times New Roman" w:cs="Times New Roman"/>
          <w:sz w:val="22"/>
          <w:szCs w:val="22"/>
        </w:rPr>
        <w:t xml:space="preserve">»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от 10 апреля 2026 года по делу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А80-636/2025 о взыскании задолженности с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Общества с ограниченной ответственностью «Тепло-Лаврентия»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 от 4 марта 2026 года по делу 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А80-637/2025</w:t>
      </w:r>
      <w:r>
        <w:rPr>
          <w:rFonts w:ascii="Times New Roman" w:hAnsi="Times New Roman" w:cs="Times New Roman"/>
          <w:sz w:val="22"/>
          <w:szCs w:val="22"/>
        </w:rPr>
        <w:t xml:space="preserve"> о взыскании задолженности </w:t>
      </w:r>
      <w:r>
        <w:rPr>
          <w:rFonts w:ascii="Times New Roman" w:hAnsi="Times New Roman" w:cs="Times New Roman"/>
          <w:sz w:val="22"/>
          <w:szCs w:val="22"/>
        </w:rPr>
        <w:t xml:space="preserve">с Общества с ограниченной ответственностью «Тепло-</w:t>
      </w:r>
      <w:r>
        <w:rPr>
          <w:rFonts w:ascii="Times New Roman" w:hAnsi="Times New Roman" w:cs="Times New Roman"/>
          <w:sz w:val="22"/>
          <w:szCs w:val="22"/>
        </w:rPr>
        <w:t xml:space="preserve">Лорино</w:t>
      </w:r>
      <w:r>
        <w:rPr>
          <w:rFonts w:ascii="Times New Roman" w:hAnsi="Times New Roman" w:cs="Times New Roman"/>
          <w:sz w:val="22"/>
          <w:szCs w:val="22"/>
        </w:rPr>
        <w:t xml:space="preserve">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09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Соглашения </w:t>
      </w:r>
      <w:r>
        <w:rPr>
          <w:rFonts w:ascii="Times New Roman" w:hAnsi="Times New Roman" w:cs="Times New Roman"/>
          <w:sz w:val="22"/>
          <w:szCs w:val="22"/>
        </w:rPr>
        <w:t xml:space="preserve">от 26</w:t>
      </w:r>
      <w:r>
        <w:rPr>
          <w:rFonts w:ascii="Times New Roman" w:hAnsi="Times New Roman" w:cs="Times New Roman"/>
          <w:sz w:val="22"/>
          <w:szCs w:val="22"/>
        </w:rPr>
        <w:t xml:space="preserve"> ноября </w:t>
      </w:r>
      <w:r>
        <w:rPr>
          <w:rFonts w:ascii="Times New Roman" w:hAnsi="Times New Roman" w:cs="Times New Roman"/>
          <w:sz w:val="22"/>
          <w:szCs w:val="22"/>
        </w:rPr>
        <w:t xml:space="preserve">2025 </w:t>
      </w:r>
      <w:r>
        <w:rPr>
          <w:rFonts w:ascii="Times New Roman" w:hAnsi="Times New Roman" w:cs="Times New Roman"/>
          <w:sz w:val="22"/>
          <w:szCs w:val="22"/>
        </w:rPr>
        <w:t xml:space="preserve">года </w:t>
      </w:r>
      <w:r>
        <w:rPr>
          <w:rFonts w:ascii="Times New Roman" w:hAnsi="Times New Roman" w:cs="Times New Roman"/>
          <w:sz w:val="22"/>
          <w:szCs w:val="22"/>
        </w:rPr>
        <w:t xml:space="preserve">№ 2025-00404 в сумме 17 793,00 тыс. рублей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от 26</w:t>
      </w:r>
      <w:r>
        <w:rPr>
          <w:rFonts w:ascii="Times New Roman" w:hAnsi="Times New Roman" w:cs="Times New Roman"/>
          <w:sz w:val="22"/>
          <w:szCs w:val="22"/>
        </w:rPr>
        <w:t xml:space="preserve"> ноября </w:t>
      </w:r>
      <w:r>
        <w:rPr>
          <w:rFonts w:ascii="Times New Roman" w:hAnsi="Times New Roman" w:cs="Times New Roman"/>
          <w:sz w:val="22"/>
          <w:szCs w:val="22"/>
        </w:rPr>
        <w:t xml:space="preserve">2025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2025-00417 в сумме 331 300,0 тыс. рублей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10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Согласно графику погашения задолженности по бюджетным кредитам и уплаты процентов за рассрочку к Своду соглашений о предоставлении бюджету Чукотского автономного округа из федерального бюджета бюджетных кредитов от 4 апреля 2025 года № 2025-00115/1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11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Согласно графику погашения задолженности к Соглашению о предоставлении бюджету Чукотского автономного округа из федерального бюджета бюджетного кредита на финансовое обеспечение реализации инфраструктурных проектов от 13 января 2022 года № 01-01-06/06-5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12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Согласно графику возврата специального казначейского кредита и уплаты процентов за пользование к Соглашению о предоставлении бюджету Чукотского автономного округа </w:t>
      </w:r>
      <w:r>
        <w:rPr>
          <w:rFonts w:ascii="Times New Roman" w:hAnsi="Times New Roman" w:cs="Times New Roman"/>
          <w:sz w:val="22"/>
          <w:szCs w:val="22"/>
        </w:rPr>
        <w:t xml:space="preserve">бюджетного кредита за счет временно свободных средств единого счета федерального бюджета </w:t>
      </w:r>
      <w:r>
        <w:rPr>
          <w:rFonts w:ascii="Times New Roman" w:hAnsi="Times New Roman" w:cs="Times New Roman"/>
          <w:sz w:val="22"/>
          <w:szCs w:val="22"/>
        </w:rPr>
        <w:br/>
        <w:t xml:space="preserve">от 25 октября 2025 года № 2023-00215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13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ешени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Арбитражного суда города Москвы от 21 февраля 2000 года по делу </w:t>
      </w:r>
      <w:r>
        <w:rPr>
          <w:rFonts w:ascii="Times New Roman" w:hAnsi="Times New Roman" w:eastAsia="Times New Roman" w:cs="Times New Roman"/>
          <w:sz w:val="22"/>
          <w:szCs w:val="22"/>
        </w:rPr>
        <w:br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№ А40-2421/00-58-28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(к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редитный договор от 26 февраля 1998 года № 8-810-012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14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Пени за несвоевременный возврат кредита по приобретению векселя в рамках Мирового соглашения между Правительством Чукотского</w:t>
      </w:r>
      <w:r>
        <w:rPr>
          <w:rFonts w:ascii="Times New Roman" w:hAnsi="Times New Roman" w:cs="Times New Roman"/>
          <w:sz w:val="22"/>
          <w:szCs w:val="22"/>
        </w:rPr>
        <w:t xml:space="preserve"> автономного округа и Открытым акционерным обществом «</w:t>
      </w:r>
      <w:r>
        <w:rPr>
          <w:rFonts w:ascii="Times New Roman" w:hAnsi="Times New Roman" w:cs="Times New Roman"/>
          <w:sz w:val="22"/>
          <w:szCs w:val="22"/>
        </w:rPr>
        <w:t xml:space="preserve">Зарубежнефть</w:t>
      </w:r>
      <w:r>
        <w:rPr>
          <w:rFonts w:ascii="Times New Roman" w:hAnsi="Times New Roman" w:cs="Times New Roman"/>
          <w:sz w:val="22"/>
          <w:szCs w:val="22"/>
        </w:rPr>
        <w:t xml:space="preserve">» от 4 октября 2005 года по делу № А40-2421/00-58-28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15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Постановление Правительства Чукотского автономного округа от 25 ноября 2024 года № 423 «О предоставлении</w:t>
      </w:r>
      <w:r>
        <w:rPr>
          <w:rFonts w:ascii="Times New Roman" w:hAnsi="Times New Roman"/>
          <w:sz w:val="22"/>
          <w:szCs w:val="22"/>
        </w:rPr>
        <w:t xml:space="preserve"> государственной гарантии Чукотского автономного округа»</w:t>
      </w:r>
      <w:r>
        <w:rPr>
          <w:rFonts w:ascii="Times New Roman" w:hAnsi="Times New Roman"/>
          <w:sz w:val="22"/>
          <w:szCs w:val="22"/>
        </w:rPr>
        <w:t xml:space="preserve"> – 3 500 000,0 тыс. рублей,</w:t>
      </w:r>
      <w:r>
        <w:rPr>
          <w:rFonts w:ascii="Times New Roman" w:hAnsi="Times New Roman"/>
          <w:sz w:val="22"/>
          <w:szCs w:val="22"/>
        </w:rPr>
        <w:t xml:space="preserve"> от 13 сентября 2024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312</w:t>
      </w:r>
      <w:r>
        <w:rPr>
          <w:rFonts w:ascii="Times New Roman" w:hAnsi="Times New Roman"/>
          <w:sz w:val="22"/>
          <w:szCs w:val="22"/>
        </w:rPr>
        <w:t xml:space="preserve"> – </w:t>
      </w:r>
      <w:r>
        <w:rPr>
          <w:rFonts w:ascii="Times New Roman" w:hAnsi="Times New Roman"/>
          <w:sz w:val="22"/>
          <w:szCs w:val="22"/>
        </w:rPr>
        <w:t xml:space="preserve">2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500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000,0 тыс. рублей</w:t>
      </w:r>
      <w:r>
        <w:rPr>
          <w:rFonts w:ascii="Times New Roman" w:hAnsi="Times New Roman"/>
          <w:sz w:val="22"/>
          <w:szCs w:val="22"/>
        </w:rPr>
        <w:t xml:space="preserve">,</w:t>
      </w:r>
      <w:r>
        <w:rPr>
          <w:rFonts w:ascii="Times New Roman" w:hAnsi="Times New Roman"/>
          <w:sz w:val="22"/>
          <w:szCs w:val="22"/>
        </w:rPr>
        <w:t xml:space="preserve"> от 31 марта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188</w:t>
      </w:r>
      <w:r>
        <w:rPr>
          <w:rFonts w:ascii="Times New Roman" w:hAnsi="Times New Roman"/>
          <w:sz w:val="22"/>
          <w:szCs w:val="22"/>
        </w:rPr>
        <w:t xml:space="preserve"> – 610 000,0 тыс. рублей, </w:t>
      </w:r>
      <w:r>
        <w:rPr>
          <w:rFonts w:ascii="Times New Roman" w:hAnsi="Times New Roman"/>
          <w:sz w:val="22"/>
          <w:szCs w:val="22"/>
        </w:rPr>
        <w:t xml:space="preserve">от 16 июня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347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– 8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000,0 тыс. рублей, от 16 июня 2025 года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348 – 700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000,0 тыс. рублей, от 1 августа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463 – 700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000,0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тыс. рублей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от 1 августа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465 – 3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000,0 тыс. рублей</w:t>
      </w:r>
      <w:r>
        <w:rPr>
          <w:rFonts w:ascii="Times New Roman" w:hAnsi="Times New Roman"/>
          <w:sz w:val="22"/>
          <w:szCs w:val="22"/>
        </w:rPr>
        <w:t xml:space="preserve"> и </w:t>
      </w:r>
      <w:r>
        <w:rPr>
          <w:rFonts w:ascii="Times New Roman" w:hAnsi="Times New Roman"/>
          <w:sz w:val="22"/>
          <w:szCs w:val="22"/>
        </w:rPr>
        <w:t xml:space="preserve">от 26 сентября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547 – 1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000,0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тыс. рублей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116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Постановление Правительства Чукотского автономного округа</w:t>
      </w:r>
      <w:r>
        <w:rPr>
          <w:rFonts w:ascii="Times New Roman" w:hAnsi="Times New Roman"/>
          <w:sz w:val="22"/>
          <w:szCs w:val="22"/>
        </w:rPr>
        <w:t xml:space="preserve"> от 14 февраля 2025 года № 58 «О </w:t>
      </w:r>
      <w:r>
        <w:rPr>
          <w:rFonts w:ascii="Times New Roman" w:hAnsi="Times New Roman"/>
          <w:sz w:val="22"/>
          <w:szCs w:val="22"/>
        </w:rPr>
        <w:t xml:space="preserve">предоставлении государственной гарантии Чукотского автономного округа»</w:t>
      </w:r>
      <w:r>
        <w:rPr>
          <w:rFonts w:ascii="Times New Roman" w:hAnsi="Times New Roman"/>
          <w:sz w:val="22"/>
          <w:szCs w:val="22"/>
        </w:rPr>
        <w:t xml:space="preserve"> – 200 000,0 тыс. рублей,</w:t>
      </w:r>
      <w:r>
        <w:rPr>
          <w:rFonts w:ascii="Times New Roman" w:hAnsi="Times New Roman"/>
          <w:sz w:val="22"/>
          <w:szCs w:val="22"/>
        </w:rPr>
        <w:t xml:space="preserve"> от 1 августа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464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– 50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000,0 тыс. рублей</w:t>
      </w:r>
      <w:r>
        <w:rPr>
          <w:rFonts w:ascii="Times New Roman" w:hAnsi="Times New Roman"/>
          <w:sz w:val="22"/>
          <w:szCs w:val="22"/>
        </w:rPr>
        <w:t xml:space="preserve"> и</w:t>
      </w:r>
      <w:r>
        <w:rPr>
          <w:rFonts w:ascii="Times New Roman" w:hAnsi="Times New Roman"/>
          <w:sz w:val="22"/>
          <w:szCs w:val="22"/>
        </w:rPr>
        <w:t xml:space="preserve"> от 1 августа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466 – 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200 000,0 тыс. рублей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117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Постановление Правительства Чукотского автономного округа от 26 сентября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548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«О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предоставлении государственной гарантии Чукотского автономного округа» – 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30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000,0 тыс. рублей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от 26 сентября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549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–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470 000,0 тыс. рублей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118">
    <w:p>
      <w:pPr>
        <w:pStyle w:val="4379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Постановление Правительства Чукотского автономного округа </w:t>
      </w:r>
      <w:r>
        <w:rPr>
          <w:rFonts w:ascii="Times New Roman" w:hAnsi="Times New Roman"/>
          <w:sz w:val="22"/>
          <w:szCs w:val="22"/>
        </w:rPr>
        <w:t xml:space="preserve">от 28 февраля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106 </w:t>
      </w:r>
      <w:r>
        <w:rPr>
          <w:rFonts w:ascii="Times New Roman" w:hAnsi="Times New Roman"/>
          <w:sz w:val="22"/>
          <w:szCs w:val="22"/>
        </w:rPr>
        <w:t xml:space="preserve">«О предоставлении государственной гарантии Чукотского автономного округа»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</w:footnote>
  <w:footnote w:id="119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Постановление Правительства Чукотского автономного округа от 27 декабря 2024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496 </w:t>
      </w:r>
      <w:r>
        <w:rPr>
          <w:rFonts w:ascii="Times New Roman" w:hAnsi="Times New Roman" w:cs="Times New Roman"/>
          <w:sz w:val="22"/>
          <w:szCs w:val="22"/>
        </w:rPr>
        <w:t xml:space="preserve">«О предоставлении государственной гарантии Чукотского автономного округа»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– 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80 000,0 тыс. рублей</w:t>
      </w:r>
      <w:r>
        <w:rPr>
          <w:rFonts w:ascii="Times New Roman" w:hAnsi="Times New Roman"/>
          <w:sz w:val="22"/>
          <w:szCs w:val="22"/>
        </w:rPr>
        <w:t xml:space="preserve"> и </w:t>
      </w:r>
      <w:r>
        <w:rPr>
          <w:rFonts w:ascii="Times New Roman" w:hAnsi="Times New Roman"/>
          <w:sz w:val="22"/>
          <w:szCs w:val="22"/>
        </w:rPr>
        <w:t xml:space="preserve">от 27 января 2025 года №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26 – 170</w:t>
      </w:r>
      <w:r>
        <w:rPr>
          <w:rFonts w:ascii="Times New Roman" w:hAnsi="Times New Roman"/>
          <w:sz w:val="22"/>
          <w:szCs w:val="22"/>
        </w:rPr>
        <w:t xml:space="preserve"> </w:t>
      </w:r>
      <w:r>
        <w:rPr>
          <w:rFonts w:ascii="Times New Roman" w:hAnsi="Times New Roman"/>
          <w:sz w:val="22"/>
          <w:szCs w:val="22"/>
        </w:rPr>
        <w:t xml:space="preserve">000,0 тыс. рублей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20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Государственная гарантия Чукотского автономного округа предоставлена в 2024 году </w:t>
      </w:r>
      <w:r>
        <w:rPr>
          <w:rFonts w:ascii="Times New Roman" w:hAnsi="Times New Roman" w:cs="Times New Roman"/>
          <w:sz w:val="22"/>
          <w:szCs w:val="22"/>
        </w:rPr>
        <w:t xml:space="preserve">Акционерно</w:t>
      </w:r>
      <w:r>
        <w:rPr>
          <w:rFonts w:ascii="Times New Roman" w:hAnsi="Times New Roman" w:cs="Times New Roman"/>
          <w:sz w:val="22"/>
          <w:szCs w:val="22"/>
        </w:rPr>
        <w:t xml:space="preserve">му</w:t>
      </w:r>
      <w:r>
        <w:rPr>
          <w:rFonts w:ascii="Times New Roman" w:hAnsi="Times New Roman" w:cs="Times New Roman"/>
          <w:sz w:val="22"/>
          <w:szCs w:val="22"/>
        </w:rPr>
        <w:t xml:space="preserve"> обществ</w:t>
      </w:r>
      <w:r>
        <w:rPr>
          <w:rFonts w:ascii="Times New Roman" w:hAnsi="Times New Roman" w:cs="Times New Roman"/>
          <w:sz w:val="22"/>
          <w:szCs w:val="22"/>
        </w:rPr>
        <w:t xml:space="preserve">у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 xml:space="preserve">ЧукотАВИА</w:t>
      </w:r>
      <w:r>
        <w:rPr>
          <w:rFonts w:ascii="Times New Roman" w:hAnsi="Times New Roman" w:cs="Times New Roman"/>
          <w:sz w:val="22"/>
          <w:szCs w:val="22"/>
        </w:rPr>
        <w:t xml:space="preserve">» на </w:t>
      </w:r>
      <w:r>
        <w:rPr>
          <w:rFonts w:ascii="Times New Roman" w:hAnsi="Times New Roman" w:cs="Times New Roman"/>
          <w:sz w:val="22"/>
          <w:szCs w:val="22"/>
        </w:rPr>
        <w:t xml:space="preserve">обновление парка воздушных судов 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для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осуществления внутренних региональных и местных воздушных перевозок» </w:t>
      </w: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дата окончания действия государственной гарантии – 1 октября 2027 года)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21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Концессионное соглашение «О фин</w:t>
      </w:r>
      <w:r>
        <w:rPr>
          <w:rFonts w:ascii="Times New Roman" w:hAnsi="Times New Roman" w:cs="Times New Roman"/>
          <w:sz w:val="22"/>
          <w:szCs w:val="22"/>
        </w:rPr>
        <w:t xml:space="preserve">ансировании, создании и эксплуатации объекта «Комплекс по обращению с отходами на территории Анадырского муниципального района в городском поселении Угольные Копи Чукотского автономного округа, включая площадки обезвреживания отходов в городском поселении </w:t>
      </w:r>
      <w:r>
        <w:rPr>
          <w:rFonts w:ascii="Times New Roman" w:hAnsi="Times New Roman" w:cs="Times New Roman"/>
          <w:sz w:val="22"/>
          <w:szCs w:val="22"/>
        </w:rPr>
        <w:t xml:space="preserve">Беринговский и сельских поселениях </w:t>
      </w:r>
      <w:r>
        <w:rPr>
          <w:rFonts w:ascii="Times New Roman" w:hAnsi="Times New Roman" w:cs="Times New Roman"/>
          <w:sz w:val="22"/>
          <w:szCs w:val="22"/>
        </w:rPr>
        <w:t xml:space="preserve">Алькатваам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Ваеги</w:t>
      </w:r>
      <w:r>
        <w:rPr>
          <w:rFonts w:ascii="Times New Roman" w:hAnsi="Times New Roman" w:cs="Times New Roman"/>
          <w:sz w:val="22"/>
          <w:szCs w:val="22"/>
        </w:rPr>
        <w:t xml:space="preserve">, Канчалан, Ламутское, </w:t>
      </w:r>
      <w:r>
        <w:rPr>
          <w:rFonts w:ascii="Times New Roman" w:hAnsi="Times New Roman" w:cs="Times New Roman"/>
          <w:sz w:val="22"/>
          <w:szCs w:val="22"/>
        </w:rPr>
        <w:t xml:space="preserve">Мейныпильгыно</w:t>
      </w:r>
      <w:r>
        <w:rPr>
          <w:rFonts w:ascii="Times New Roman" w:hAnsi="Times New Roman" w:cs="Times New Roman"/>
          <w:sz w:val="22"/>
          <w:szCs w:val="22"/>
        </w:rPr>
        <w:t xml:space="preserve">, Снежное, </w:t>
      </w:r>
      <w:r>
        <w:rPr>
          <w:rFonts w:ascii="Times New Roman" w:hAnsi="Times New Roman" w:cs="Times New Roman"/>
          <w:sz w:val="22"/>
          <w:szCs w:val="22"/>
        </w:rPr>
        <w:t xml:space="preserve">Усть</w:t>
      </w:r>
      <w:r>
        <w:rPr>
          <w:rFonts w:ascii="Times New Roman" w:hAnsi="Times New Roman" w:cs="Times New Roman"/>
          <w:sz w:val="22"/>
          <w:szCs w:val="22"/>
        </w:rPr>
        <w:t xml:space="preserve">-Белая, Хатырка, </w:t>
      </w:r>
      <w:r>
        <w:rPr>
          <w:rFonts w:ascii="Times New Roman" w:hAnsi="Times New Roman" w:cs="Times New Roman"/>
          <w:sz w:val="22"/>
          <w:szCs w:val="22"/>
        </w:rPr>
        <w:t xml:space="preserve">Марково</w:t>
      </w:r>
      <w:r>
        <w:rPr>
          <w:rFonts w:ascii="Times New Roman" w:hAnsi="Times New Roman" w:cs="Times New Roman"/>
          <w:sz w:val="22"/>
          <w:szCs w:val="22"/>
        </w:rPr>
        <w:t xml:space="preserve">, Чуванское Анадырского муниципального района» (Общество с ограниченной ответственностью «Экологический оператор Чукотки»)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22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Общество с ограниченной ответственностью «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Алькор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23">
    <w:p>
      <w:pPr>
        <w:pStyle w:val="4379"/>
        <w:ind w:firstLine="284"/>
        <w:tabs>
          <w:tab w:val="left" w:pos="73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Непубличное акционерное общество «Чукотская торговая компания»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24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Общество с ограниченной ответственностью «Энергоцентр Билибино»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25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Концессионное соглашение «О финансировании, создании и эксплуатации </w:t>
      </w:r>
      <w:r>
        <w:rPr>
          <w:rFonts w:ascii="Times New Roman" w:hAnsi="Times New Roman" w:cs="Times New Roman"/>
          <w:sz w:val="22"/>
          <w:szCs w:val="22"/>
        </w:rPr>
        <w:t xml:space="preserve">с</w:t>
      </w:r>
      <w:r>
        <w:rPr>
          <w:rFonts w:ascii="Times New Roman" w:hAnsi="Times New Roman" w:cs="Times New Roman"/>
          <w:sz w:val="22"/>
          <w:szCs w:val="22"/>
        </w:rPr>
        <w:t xml:space="preserve">портивного комплекса в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пгт</w:t>
      </w:r>
      <w:r>
        <w:rPr>
          <w:rFonts w:ascii="Times New Roman" w:hAnsi="Times New Roman" w:cs="Times New Roman"/>
          <w:sz w:val="22"/>
          <w:szCs w:val="22"/>
        </w:rPr>
        <w:t xml:space="preserve"> Угольные Копи</w:t>
      </w:r>
      <w:r>
        <w:rPr>
          <w:rFonts w:ascii="Times New Roman" w:hAnsi="Times New Roman" w:cs="Times New Roman"/>
          <w:sz w:val="22"/>
          <w:szCs w:val="22"/>
        </w:rPr>
        <w:t xml:space="preserve">»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 xml:space="preserve">Общество с ограниченной ответственностью «СПОРТАП»)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26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  <w:color w:val="000000"/>
        </w:rPr>
        <w:t xml:space="preserve">Акционерно</w:t>
      </w:r>
      <w:r>
        <w:rPr>
          <w:rFonts w:ascii="Times New Roman" w:hAnsi="Times New Roman" w:cs="Times New Roman"/>
          <w:color w:val="000000"/>
        </w:rPr>
        <w:t xml:space="preserve">е</w:t>
      </w:r>
      <w:r>
        <w:rPr>
          <w:rFonts w:ascii="Times New Roman" w:hAnsi="Times New Roman" w:cs="Times New Roman"/>
          <w:color w:val="000000"/>
        </w:rPr>
        <w:t xml:space="preserve"> общество «Арктик Регион Связь»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27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Общество с ограниченной ответственностью «Пищевой комплекс «Полярный»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28">
    <w:p>
      <w:pPr>
        <w:ind w:firstLine="284"/>
        <w:jc w:val="both"/>
        <w:spacing w:after="0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  <w:color w:val="000000"/>
        </w:rPr>
        <w:t xml:space="preserve">Общество с ограниченной ответственностью «Птицефабрика «Северная»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29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eastAsia="Calibri" w:cs="Times New Roman"/>
        </w:rPr>
        <w:t xml:space="preserve">о данным, отраженным в Едином федеральном реестре сведений о банкротстве</w:t>
      </w:r>
      <w:r>
        <w:rPr>
          <w:rFonts w:ascii="Times New Roman" w:hAnsi="Times New Roman" w:eastAsia="Calibri" w:cs="Times New Roman"/>
        </w:rPr>
        <w:t xml:space="preserve">,</w:t>
      </w:r>
      <w:r>
        <w:rPr>
          <w:rFonts w:ascii="Times New Roman" w:hAnsi="Times New Roman" w:eastAsia="Calibri" w:cs="Times New Roman"/>
        </w:rPr>
        <w:t xml:space="preserve"> https://bankrot.fedresurs.ru/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30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С учетом прот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околов об административном правонарушении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31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Объекты «Центр культурного развития в г. Певек», «Школа в г. Анадырь», «Приобретение и установка ФАП в с. Ламутское», «Приобретение и установка ФАП в с. Чуванское», «Дом культуры в с. Канчалан»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32">
    <w:p>
      <w:pPr>
        <w:pStyle w:val="4378"/>
        <w:ind w:firstLine="284"/>
        <w:jc w:val="both"/>
        <w:spacing w:before="0" w:beforeAutospacing="0" w:after="0" w:afterAutospacing="0"/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Государственные программы «</w:t>
      </w:r>
      <w:r>
        <w:rPr>
          <w:sz w:val="22"/>
          <w:szCs w:val="22"/>
        </w:rPr>
        <w:t xml:space="preserve">Развитие образования и науки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Социальная поддержка населения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Развитие здравоохранения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Стимулирование экономической активности населения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Управление региональными финансами и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имуществом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Развитие энергетики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Формирование комфортной городской среды в Чукотском автономном округе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Охрана окружающей среды и обеспечение рационального природопользования в Чукотском автономном округе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Предупреждение чрезвычайных ситуаций природного и техногенного характера и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обеспечение пожарной безопасности в Чукотском автономном округе», «Обеспечение охраны общественного порядка и повышения безопасности дорожного движения в Чукотском автономном округе»</w:t>
      </w:r>
      <w:r/>
    </w:p>
  </w:footnote>
  <w:footnote w:id="133">
    <w:p>
      <w:pPr>
        <w:pStyle w:val="4526"/>
        <w:ind w:firstLine="284"/>
        <w:jc w:val="both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Государственн</w:t>
      </w:r>
      <w:r>
        <w:rPr>
          <w:rFonts w:ascii="Times New Roman" w:hAnsi="Times New Roman" w:cs="Times New Roman"/>
        </w:rPr>
        <w:t xml:space="preserve">ые</w:t>
      </w:r>
      <w:r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 xml:space="preserve">ы «</w:t>
      </w:r>
      <w:r>
        <w:rPr>
          <w:rFonts w:ascii="Times New Roman" w:hAnsi="Times New Roman" w:cs="Times New Roman"/>
        </w:rPr>
        <w:t xml:space="preserve">Развитие здравоохранения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Стимулирование экономической активности населения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агропромышленного комплекса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Информационное общество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жилищно-коммунального хозяйства и</w:t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водохозяйственного комплекса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образования и науки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лесного хозяйства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транспортной инфраструктуры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Управление региональными финансами и имуществом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Развитие жилищного строительства в Чукотском автономном округе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Предупреждение чрезвычайных ситуаций природного и техногенного характера и обеспечение пожарной безопасности в Чукотском автономном округе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Охрана окружающей среды и обеспечение рационального природопользования в Чукотском автономном округе»</w:t>
      </w:r>
      <w:r>
        <w:rPr>
          <w:rFonts w:ascii="Times New Roman" w:hAnsi="Times New Roman" w:cs="Times New Roman"/>
        </w:rPr>
        <w:t xml:space="preserve">, «</w:t>
      </w:r>
      <w:r>
        <w:rPr>
          <w:rFonts w:ascii="Times New Roman" w:hAnsi="Times New Roman" w:cs="Times New Roman"/>
        </w:rPr>
        <w:t xml:space="preserve">Развитие энергетики Чукотского автономного округа</w:t>
      </w:r>
      <w:r>
        <w:rPr>
          <w:rFonts w:ascii="Times New Roman" w:hAnsi="Times New Roman" w:cs="Times New Roman"/>
        </w:rPr>
        <w:t xml:space="preserve">», «</w:t>
      </w:r>
      <w:r>
        <w:rPr>
          <w:rFonts w:ascii="Times New Roman" w:hAnsi="Times New Roman" w:cs="Times New Roman"/>
        </w:rPr>
        <w:t xml:space="preserve">Формирование комфортной городской среды в Чукотском автономном округе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34">
    <w:p>
      <w:pPr>
        <w:pStyle w:val="4378"/>
        <w:ind w:firstLine="284"/>
        <w:jc w:val="both"/>
        <w:spacing w:before="0" w:beforeAutospacing="0" w:after="0" w:afterAutospacing="0"/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Государственные программы «</w:t>
      </w:r>
      <w:r>
        <w:rPr>
          <w:sz w:val="22"/>
          <w:szCs w:val="22"/>
        </w:rPr>
        <w:t xml:space="preserve">Развитие образования и науки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Социальная поддержка населения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Развитие здравоохранения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Стимулирование экономической активности населения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Управление региональными финансами и имуществом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Развитие энергетики Чукотского автономного округа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Формирование комфортной городской среды в Чукотском автономном округе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Охрана окружающей среды и обеспечение рационального природопользования в Чукотском автономном округе</w:t>
      </w:r>
      <w:r>
        <w:rPr>
          <w:sz w:val="22"/>
          <w:szCs w:val="22"/>
        </w:rPr>
        <w:t xml:space="preserve">», «</w:t>
      </w:r>
      <w:r>
        <w:rPr>
          <w:sz w:val="22"/>
          <w:szCs w:val="22"/>
        </w:rPr>
        <w:t xml:space="preserve">Предупреждение чрезвычайных ситуаций природного и техногенного характера и </w:t>
      </w:r>
      <w:r>
        <w:rPr>
          <w:sz w:val="22"/>
          <w:szCs w:val="22"/>
        </w:rPr>
        <w:t xml:space="preserve">обеспечение пожарной безопасности в Чукотском автономном округе», «Обеспечение охраны общественного порядка и повышения безопасности дорожного движения в Чукотском автономном округе»</w:t>
      </w:r>
      <w:r/>
    </w:p>
  </w:footnote>
  <w:footnote w:id="135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Закон Чукотского автономного округа от 4</w:t>
      </w:r>
      <w:r>
        <w:rPr>
          <w:rFonts w:ascii="Times New Roman" w:hAnsi="Times New Roman" w:cs="Times New Roman"/>
          <w:sz w:val="22"/>
          <w:szCs w:val="22"/>
        </w:rPr>
        <w:t xml:space="preserve"> декабря </w:t>
      </w:r>
      <w:r>
        <w:rPr>
          <w:rFonts w:ascii="Times New Roman" w:hAnsi="Times New Roman" w:cs="Times New Roman"/>
          <w:sz w:val="22"/>
          <w:szCs w:val="22"/>
        </w:rPr>
        <w:t xml:space="preserve">2024 </w:t>
      </w:r>
      <w:r>
        <w:rPr>
          <w:rFonts w:ascii="Times New Roman" w:hAnsi="Times New Roman" w:cs="Times New Roman"/>
          <w:sz w:val="22"/>
          <w:szCs w:val="22"/>
        </w:rPr>
        <w:t xml:space="preserve">года № </w:t>
      </w:r>
      <w:r>
        <w:rPr>
          <w:rFonts w:ascii="Times New Roman" w:hAnsi="Times New Roman" w:cs="Times New Roman"/>
          <w:sz w:val="22"/>
          <w:szCs w:val="22"/>
        </w:rPr>
        <w:t xml:space="preserve">64-ОЗ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 xml:space="preserve">Об окружном бюджете на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2025 год и на плановый период 2026 и 2027 годов</w:t>
      </w:r>
      <w:r>
        <w:rPr>
          <w:rFonts w:ascii="Times New Roman" w:hAnsi="Times New Roman" w:cs="Times New Roman"/>
          <w:sz w:val="22"/>
          <w:szCs w:val="22"/>
        </w:rPr>
        <w:t xml:space="preserve">»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 xml:space="preserve">в редакции от 19 декабря 2025 года № 86-ОЗ) </w:t>
      </w:r>
      <w:r>
        <w:rPr>
          <w:rFonts w:ascii="Times New Roman" w:hAnsi="Times New Roman" w:cs="Times New Roman"/>
          <w:sz w:val="22"/>
          <w:szCs w:val="22"/>
        </w:rPr>
        <w:t xml:space="preserve">(далее – Закон об окружном</w:t>
      </w:r>
      <w:r>
        <w:rPr>
          <w:rFonts w:ascii="Times New Roman" w:hAnsi="Times New Roman" w:cs="Times New Roman"/>
          <w:sz w:val="22"/>
          <w:szCs w:val="22"/>
        </w:rPr>
        <w:t xml:space="preserve"> бюджете)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36">
    <w:p>
      <w:pPr>
        <w:pStyle w:val="4379"/>
        <w:contextualSpacing/>
        <w:ind w:firstLine="284"/>
        <w:jc w:val="both"/>
        <w:widowControl w:val="off"/>
        <w:tabs>
          <w:tab w:val="left" w:pos="850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Отчет об исполнении консолидированного бюджета субъекта Российской Федерации и бюджета территориального государственного внебюджетного фонда (форма 0503317) (в части, относящейся к исполнению окружного бюджета)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37">
    <w:p>
      <w:pPr>
        <w:pStyle w:val="4379"/>
        <w:contextualSpacing/>
        <w:ind w:firstLine="284"/>
        <w:jc w:val="both"/>
        <w:widowControl w:val="off"/>
        <w:tabs>
          <w:tab w:val="left" w:pos="850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Включая </w:t>
      </w:r>
      <w:r>
        <w:rPr>
          <w:rFonts w:ascii="Times New Roman" w:hAnsi="Times New Roman" w:eastAsia="Calibri" w:cs="Times New Roman"/>
          <w:sz w:val="22"/>
          <w:szCs w:val="22"/>
          <w:lang w:bidi="en-US"/>
        </w:rPr>
        <w:t xml:space="preserve">междокументальное</w:t>
      </w:r>
      <w:r>
        <w:rPr>
          <w:rFonts w:ascii="Times New Roman" w:hAnsi="Times New Roman" w:eastAsia="Calibri" w:cs="Times New Roman"/>
          <w:sz w:val="22"/>
          <w:szCs w:val="22"/>
          <w:lang w:bidi="en-US"/>
        </w:rPr>
        <w:t xml:space="preserve"> несоответствие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38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Закон Чукотского автономного округа 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24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мая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2002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31-ОЗ «О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бюджетном процессе в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Чукотском автономном округе» (далее – Закон о бюджетном процессе)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39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Устав Чукотского автономного округа утвержден Законом Чукотского автономного округа от 28 ноября 1997 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26-ОЗ (в редакции от</w:t>
      </w:r>
      <w:r>
        <w:rPr>
          <w:rFonts w:ascii="Times New Roman" w:hAnsi="Times New Roman" w:cs="Times New Roman"/>
          <w:sz w:val="22"/>
          <w:szCs w:val="22"/>
        </w:rPr>
        <w:t xml:space="preserve"> 5</w:t>
      </w:r>
      <w:r>
        <w:rPr>
          <w:rFonts w:ascii="Times New Roman" w:hAnsi="Times New Roman" w:cs="Times New Roman"/>
          <w:sz w:val="22"/>
          <w:szCs w:val="22"/>
        </w:rPr>
        <w:t xml:space="preserve"> марта </w:t>
      </w:r>
      <w:r>
        <w:rPr>
          <w:rFonts w:ascii="Times New Roman" w:hAnsi="Times New Roman" w:cs="Times New Roman"/>
          <w:sz w:val="22"/>
          <w:szCs w:val="22"/>
        </w:rPr>
        <w:t xml:space="preserve">2026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№ </w:t>
      </w:r>
      <w:r>
        <w:rPr>
          <w:rFonts w:ascii="Times New Roman" w:hAnsi="Times New Roman" w:cs="Times New Roman"/>
          <w:sz w:val="22"/>
          <w:szCs w:val="22"/>
        </w:rPr>
        <w:t xml:space="preserve">3-ОЗ</w:t>
      </w:r>
      <w:r>
        <w:rPr>
          <w:rFonts w:ascii="Times New Roman" w:hAnsi="Times New Roman" w:cs="Times New Roman"/>
          <w:sz w:val="22"/>
          <w:szCs w:val="22"/>
        </w:rPr>
        <w:t xml:space="preserve">) (далее – Устав)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40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Постановление Губернатора Чукотского автономного округа от 26 сентября 2022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305 «О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системе и структуре органов исполнительной власти Чукотского автономного округа»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41"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strike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Департамент строительства, </w:t>
      </w:r>
      <w:r>
        <w:rPr>
          <w:rFonts w:ascii="Times New Roman" w:hAnsi="Times New Roman" w:cs="Times New Roman"/>
        </w:rPr>
        <w:t xml:space="preserve">Департамент промышленной политики, Департамент социальной политики</w:t>
      </w:r>
      <w:r>
        <w:rPr>
          <w:rFonts w:ascii="Times New Roman" w:hAnsi="Times New Roman" w:cs="Times New Roman"/>
        </w:rPr>
        <w:t xml:space="preserve">, Департамент экономики,</w:t>
      </w:r>
      <w:r>
        <w:rPr>
          <w:rFonts w:ascii="Times New Roman" w:hAnsi="Times New Roman" w:cs="Times New Roman"/>
        </w:rPr>
        <w:t xml:space="preserve"> Департамент финансов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Департамент сельского хозяйства,</w:t>
      </w:r>
      <w:r>
        <w:rPr>
          <w:rFonts w:ascii="Times New Roman" w:hAnsi="Times New Roman" w:cs="Times New Roman"/>
        </w:rPr>
        <w:t xml:space="preserve"> Департамент цифрового развития,</w:t>
      </w:r>
      <w:r>
        <w:rPr>
          <w:rFonts w:ascii="Times New Roman" w:hAnsi="Times New Roman" w:cs="Times New Roman"/>
        </w:rPr>
        <w:t xml:space="preserve"> Департамент здравоохранения, Департамент образования, Департамент природных ресурсов, Департамент культуры</w:t>
      </w:r>
      <w:r>
        <w:rPr>
          <w:rFonts w:ascii="Times New Roman" w:hAnsi="Times New Roman" w:cs="Times New Roman"/>
        </w:rPr>
        <w:t xml:space="preserve">, Департамент спорта, Департамент гражданской защиты</w:t>
      </w:r>
      <w:r>
        <w:rPr>
          <w:rFonts w:ascii="Times New Roman" w:hAnsi="Times New Roman" w:cs="Times New Roman"/>
          <w:strike/>
        </w:rPr>
      </w:r>
      <w:r>
        <w:rPr>
          <w:rFonts w:ascii="Times New Roman" w:hAnsi="Times New Roman" w:cs="Times New Roman"/>
          <w:strike/>
        </w:rPr>
      </w:r>
    </w:p>
  </w:footnote>
  <w:footnote w:id="142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Комитет по охране объектов культурного наследия, Комитет регулирования цен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43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Управление по обеспечению деятельности мировых судей</w:t>
      </w:r>
      <w:r>
        <w:rPr>
          <w:rFonts w:ascii="Times New Roman" w:hAnsi="Times New Roman" w:cs="Times New Roman"/>
          <w:sz w:val="22"/>
          <w:szCs w:val="22"/>
        </w:rPr>
        <w:t xml:space="preserve">, Управление молодежной политики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44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З</w:t>
      </w:r>
      <w:r>
        <w:rPr>
          <w:rFonts w:ascii="Times New Roman" w:hAnsi="Times New Roman" w:cs="Times New Roman"/>
          <w:sz w:val="22"/>
          <w:szCs w:val="22"/>
        </w:rPr>
        <w:t xml:space="preserve">акон Чукотского автономного округа от 2 апреля 1996 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03-ОЗ «О Думе Чукотского автономного округа»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45">
    <w:p>
      <w:pPr>
        <w:pStyle w:val="4377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Федеральный закон от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7 </w:t>
      </w:r>
      <w:r>
        <w:rPr>
          <w:sz w:val="22"/>
          <w:szCs w:val="22"/>
        </w:rPr>
        <w:t xml:space="preserve">ф</w:t>
      </w:r>
      <w:r>
        <w:rPr>
          <w:sz w:val="22"/>
          <w:szCs w:val="22"/>
        </w:rPr>
        <w:t xml:space="preserve">евраля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2011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года 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6-ФЗ «</w:t>
      </w:r>
      <w:r>
        <w:rPr>
          <w:bCs/>
          <w:sz w:val="22"/>
          <w:szCs w:val="22"/>
        </w:rPr>
        <w:t xml:space="preserve">Об общих принципах организации и</w:t>
      </w:r>
      <w:r>
        <w:rPr>
          <w:bCs/>
          <w:sz w:val="22"/>
          <w:szCs w:val="22"/>
        </w:rPr>
        <w:t xml:space="preserve"> </w:t>
      </w:r>
      <w:r>
        <w:rPr>
          <w:bCs/>
          <w:sz w:val="22"/>
          <w:szCs w:val="22"/>
        </w:rPr>
        <w:t xml:space="preserve">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46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Федеральный закон от 12 июня 2002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67-ФЗ «Об основных гарантиях избирательных прав и права на участие в референдуме граждан Российской Федерации»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47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Постановление Правительства Чукотского автономного округа от 23 марта 2012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120 «О подведомственности получателей средств окружного бюджета главным распорядителям (распорядителям) средств окружного бюджета и ведомственной подчиненности государственных учреждений и государственных предприятий Чукотского автономного округа»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48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Государственное предприятие Чукотского автономного округа «</w:t>
      </w:r>
      <w:r>
        <w:rPr>
          <w:rFonts w:ascii="Times New Roman" w:hAnsi="Times New Roman" w:cs="Times New Roman"/>
          <w:sz w:val="22"/>
          <w:szCs w:val="22"/>
        </w:rPr>
        <w:t xml:space="preserve">Чукоткоммунхоз</w:t>
      </w:r>
      <w:r>
        <w:rPr>
          <w:rFonts w:ascii="Times New Roman" w:hAnsi="Times New Roman" w:cs="Times New Roman"/>
          <w:sz w:val="22"/>
          <w:szCs w:val="22"/>
        </w:rPr>
        <w:t xml:space="preserve">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49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Федеральный закон от 6 декабря 2011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402-ФЗ «О бухгалтерском учете»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50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Приказы Министерства финансов Российской Федерации от 1 декабря 2010 года №</w:t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157н «Об утверждении Единого плана счетов бухгалтерского учета для органов государственной в</w:t>
      </w:r>
      <w:r>
        <w:rPr>
          <w:rFonts w:ascii="Times New Roman" w:hAnsi="Times New Roman" w:cs="Times New Roman"/>
        </w:rPr>
        <w:t xml:space="preserve">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от 6 декабря 2010 года №</w:t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162н «Об утверждении Плана счетов бюджетного учета и Инструкции по его применению»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51">
    <w:p>
      <w:pPr>
        <w:pStyle w:val="4379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Приказ Министерства финансов Российской Федерации от 28 декабря 2010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191н «Об утверждении инструкции о порядке составления и представления годовой, квартальной и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месячной отчетности об исполнении бюджетов бюджетной системы Российской Федерации</w:t>
      </w:r>
      <w:r>
        <w:rPr>
          <w:rFonts w:ascii="Times New Roman" w:hAnsi="Times New Roman" w:cs="Times New Roman"/>
          <w:sz w:val="22"/>
          <w:szCs w:val="22"/>
        </w:rPr>
        <w:t xml:space="preserve">»</w:t>
      </w:r>
      <w:r>
        <w:rPr>
          <w:rFonts w:ascii="Times New Roman" w:hAnsi="Times New Roman" w:cs="Times New Roman"/>
          <w:sz w:val="22"/>
          <w:szCs w:val="22"/>
        </w:rPr>
        <w:br/>
        <w:t xml:space="preserve">(далее – Инструкция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191н)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52">
    <w:p>
      <w:pPr>
        <w:pStyle w:val="4379"/>
        <w:ind w:firstLine="284"/>
        <w:jc w:val="both"/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Приказ Министерства финансов Российской Федерации от 2</w:t>
      </w:r>
      <w:r>
        <w:rPr>
          <w:rFonts w:ascii="Times New Roman" w:hAnsi="Times New Roman" w:cs="Times New Roman"/>
          <w:sz w:val="22"/>
          <w:szCs w:val="22"/>
        </w:rPr>
        <w:t xml:space="preserve">5 марта</w:t>
      </w:r>
      <w:r>
        <w:rPr>
          <w:rFonts w:ascii="Times New Roman" w:hAnsi="Times New Roman" w:cs="Times New Roman"/>
          <w:sz w:val="22"/>
          <w:szCs w:val="22"/>
        </w:rPr>
        <w:t xml:space="preserve"> 201</w:t>
      </w:r>
      <w:r>
        <w:rPr>
          <w:rFonts w:ascii="Times New Roman" w:hAnsi="Times New Roman" w:cs="Times New Roman"/>
          <w:sz w:val="22"/>
          <w:szCs w:val="22"/>
        </w:rPr>
        <w:t xml:space="preserve">1</w:t>
      </w:r>
      <w:r>
        <w:rPr>
          <w:rFonts w:ascii="Times New Roman" w:hAnsi="Times New Roman" w:cs="Times New Roman"/>
          <w:sz w:val="22"/>
          <w:szCs w:val="22"/>
        </w:rPr>
        <w:t xml:space="preserve"> года №</w:t>
      </w:r>
      <w:r>
        <w:rPr>
          <w:rFonts w:ascii="Times New Roman" w:hAnsi="Times New Roman" w:cs="Times New Roman"/>
          <w:sz w:val="22"/>
          <w:szCs w:val="22"/>
        </w:rPr>
        <w:t xml:space="preserve"> 33</w:t>
      </w:r>
      <w:r>
        <w:rPr>
          <w:rFonts w:ascii="Times New Roman" w:hAnsi="Times New Roman" w:cs="Times New Roman"/>
          <w:sz w:val="22"/>
          <w:szCs w:val="22"/>
        </w:rPr>
        <w:t xml:space="preserve">н «Об утверждении инструкции о порядке составления и представления годовой, квартальной и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месячной отчетности государственных (муниципальных) бюджетных и автономных учреждений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(далее – Инструкция №</w:t>
      </w:r>
      <w:r>
        <w:rPr>
          <w:rFonts w:ascii="Times New Roman" w:hAnsi="Times New Roman" w:cs="Times New Roman"/>
          <w:sz w:val="22"/>
          <w:szCs w:val="22"/>
        </w:rPr>
        <w:t xml:space="preserve"> 33</w:t>
      </w:r>
      <w:r>
        <w:rPr>
          <w:rFonts w:ascii="Times New Roman" w:hAnsi="Times New Roman" w:cs="Times New Roman"/>
          <w:sz w:val="22"/>
          <w:szCs w:val="22"/>
        </w:rPr>
        <w:t xml:space="preserve">н)</w:t>
      </w:r>
      <w:r/>
    </w:p>
  </w:footnote>
  <w:footnote w:id="153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Приложение 5 «Ведомственная структура расходов окружного бюджета»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54">
    <w:p>
      <w:pPr>
        <w:pStyle w:val="4379"/>
        <w:ind w:firstLine="284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С</w:t>
      </w:r>
      <w:r>
        <w:rPr>
          <w:rFonts w:ascii="Times New Roman" w:hAnsi="Times New Roman" w:eastAsia="Calibri" w:cs="Times New Roman"/>
          <w:sz w:val="22"/>
          <w:szCs w:val="22"/>
        </w:rPr>
        <w:t xml:space="preserve">татья 215.1 Бюджетного кодекса; </w:t>
      </w:r>
      <w:r>
        <w:rPr>
          <w:rFonts w:ascii="Times New Roman" w:hAnsi="Times New Roman" w:cs="Times New Roman"/>
          <w:sz w:val="22"/>
          <w:szCs w:val="22"/>
        </w:rPr>
        <w:t xml:space="preserve">Порядок составления и ведения сводной бюджетной росписи окружного бюджета утвержден </w:t>
      </w:r>
      <w:bookmarkStart w:id="0" w:name="undefined"/>
      <w:r>
        <w:rPr>
          <w:rFonts w:ascii="Times New Roman" w:hAnsi="Times New Roman" w:cs="Times New Roman"/>
          <w:sz w:val="22"/>
          <w:szCs w:val="22"/>
        </w:rPr>
        <w:t xml:space="preserve">Приказом Департамента финансов и имущественных отношений Чукотского автономного округа от 21 марта 2024 года №</w:t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86 «Об утверждении Порядка составления и ведения сводной бюджетной росписи окружного бюджета и бюджетных росписей главных распорядителей средств окружного бюджета (главных администраторов источников финансирования дефицита окружного бюджета)»</w:t>
      </w:r>
      <w:bookmarkEnd w:id="0"/>
      <w:r>
        <w:rPr>
          <w:rFonts w:ascii="Times New Roman" w:hAnsi="Times New Roman" w:eastAsia="Calibri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</w:footnote>
  <w:footnote w:id="155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Казенные, бюджетные и автономные учреждения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56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Объекты «Центр культурного развития в г. Певек», «Школа в г. Анадырь», «Приобретение и</w:t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установка ФАП в с. Ламутское», «Приобретение и установка ФАП в с. Чуванское», «Дом культуры в с. Канчалан»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57">
    <w:p>
      <w:pPr>
        <w:pStyle w:val="4379"/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Style w:val="4381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С учетом прот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околов об административном правонарушении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</w:footnote>
  <w:footnote w:id="158">
    <w:p>
      <w:pPr>
        <w:ind w:firstLine="28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Объекты «Центр культурного развития в г. Певек», «Школа в г. Анадырь», «Приобретение и</w:t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  <w:t xml:space="preserve">установка ФАП в с. Ламутское», «Приобретение и установка ФАП в с. Чуванское», «Дом культуры в с. Канчалан»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59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Закон Чукотского автономного округа </w:t>
      </w:r>
      <w:r>
        <w:rPr>
          <w:sz w:val="22"/>
          <w:szCs w:val="22"/>
        </w:rPr>
        <w:t xml:space="preserve">от 3</w:t>
      </w:r>
      <w:r>
        <w:rPr>
          <w:sz w:val="22"/>
          <w:szCs w:val="22"/>
        </w:rPr>
        <w:t xml:space="preserve"> декабря </w:t>
      </w:r>
      <w:r>
        <w:rPr>
          <w:sz w:val="22"/>
          <w:szCs w:val="22"/>
        </w:rPr>
        <w:t xml:space="preserve">2025</w:t>
      </w:r>
      <w:r>
        <w:rPr>
          <w:sz w:val="22"/>
          <w:szCs w:val="22"/>
        </w:rPr>
        <w:t xml:space="preserve"> года № </w:t>
      </w:r>
      <w:r>
        <w:rPr>
          <w:sz w:val="22"/>
          <w:szCs w:val="22"/>
        </w:rPr>
        <w:t xml:space="preserve">95-ОЗ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ред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от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27</w:t>
      </w:r>
      <w:r>
        <w:rPr>
          <w:sz w:val="22"/>
          <w:szCs w:val="22"/>
        </w:rPr>
        <w:t xml:space="preserve"> февраля </w:t>
      </w:r>
      <w:r>
        <w:rPr>
          <w:sz w:val="22"/>
          <w:szCs w:val="22"/>
        </w:rPr>
        <w:t xml:space="preserve">2026</w:t>
      </w:r>
      <w:r>
        <w:rPr>
          <w:sz w:val="22"/>
          <w:szCs w:val="22"/>
        </w:rPr>
        <w:t xml:space="preserve"> года № 2-ОЗ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 xml:space="preserve">Об окружном бюджете на 2026 год и на плановый период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2027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2028 годов</w:t>
      </w:r>
      <w:r>
        <w:rPr>
          <w:sz w:val="22"/>
          <w:szCs w:val="22"/>
        </w:rPr>
        <w:t xml:space="preserve">» (далее – Закон об окружном бюджете)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0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Распоряжение Правительства Чукотского автономного округа от </w:t>
      </w:r>
      <w:r>
        <w:rPr>
          <w:sz w:val="22"/>
          <w:szCs w:val="22"/>
        </w:rPr>
        <w:t xml:space="preserve">28 ноября 2025 года </w:t>
      </w:r>
      <w:r>
        <w:rPr>
          <w:sz w:val="22"/>
          <w:szCs w:val="22"/>
        </w:rPr>
        <w:t xml:space="preserve">№</w:t>
      </w:r>
      <w:r>
        <w:rPr>
          <w:sz w:val="22"/>
          <w:szCs w:val="22"/>
        </w:rPr>
        <w:t xml:space="preserve"> 556</w:t>
      </w:r>
      <w:r>
        <w:rPr>
          <w:sz w:val="22"/>
          <w:szCs w:val="22"/>
        </w:rPr>
        <w:t xml:space="preserve">-рп «О прогнозе социально-экономического развития Чукотского автономного округа на 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год и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плановый период 202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 и 202</w:t>
      </w:r>
      <w:r>
        <w:rPr>
          <w:sz w:val="22"/>
          <w:szCs w:val="22"/>
        </w:rPr>
        <w:t xml:space="preserve">8 </w:t>
      </w:r>
      <w:r>
        <w:rPr>
          <w:sz w:val="22"/>
          <w:szCs w:val="22"/>
        </w:rPr>
        <w:t xml:space="preserve">годов»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1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</w:t>
      </w:r>
      <w:r>
        <w:rPr>
          <w:color w:val="232222"/>
          <w:sz w:val="22"/>
          <w:szCs w:val="22"/>
          <w:shd w:val="clear" w:color="auto" w:fill="ffffff"/>
        </w:rPr>
        <w:t xml:space="preserve">Показатель, отражающий изменение объемов промышленного производства в сопоставлении с предыдущим периодом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2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</w:t>
      </w:r>
      <w:r>
        <w:rPr>
          <w:color w:val="232222"/>
          <w:sz w:val="22"/>
          <w:szCs w:val="22"/>
          <w:shd w:val="clear" w:color="auto" w:fill="ffffff"/>
        </w:rPr>
        <w:t xml:space="preserve">оказатель, отражающий изменение среднего уровня цен на фиксированный набор товаров и</w:t>
      </w:r>
      <w:r>
        <w:rPr>
          <w:color w:val="232222"/>
          <w:sz w:val="22"/>
          <w:szCs w:val="22"/>
          <w:shd w:val="clear" w:color="auto" w:fill="ffffff"/>
        </w:rPr>
        <w:t xml:space="preserve"> </w:t>
      </w:r>
      <w:r>
        <w:rPr>
          <w:color w:val="232222"/>
          <w:sz w:val="22"/>
          <w:szCs w:val="22"/>
          <w:shd w:val="clear" w:color="auto" w:fill="ffffff"/>
        </w:rPr>
        <w:t xml:space="preserve">услуг, приобретаемых населением </w:t>
      </w:r>
      <w:r>
        <w:rPr>
          <w:color w:val="232222"/>
          <w:sz w:val="22"/>
          <w:szCs w:val="22"/>
          <w:shd w:val="clear" w:color="auto" w:fill="ffffff"/>
        </w:rPr>
        <w:t xml:space="preserve">для</w:t>
      </w:r>
      <w:r>
        <w:rPr>
          <w:color w:val="232222"/>
          <w:sz w:val="22"/>
          <w:szCs w:val="22"/>
          <w:shd w:val="clear" w:color="auto" w:fill="ffffff"/>
        </w:rPr>
        <w:t xml:space="preserve"> </w:t>
      </w:r>
      <w:r>
        <w:rPr>
          <w:color w:val="232222"/>
          <w:sz w:val="22"/>
          <w:szCs w:val="22"/>
          <w:shd w:val="clear" w:color="auto" w:fill="ffffff"/>
        </w:rPr>
        <w:t xml:space="preserve">личного потребления, за определенный период времени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3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</w:t>
      </w:r>
      <w:r>
        <w:rPr>
          <w:rFonts w:eastAsia="Calibri"/>
          <w:sz w:val="22"/>
          <w:szCs w:val="22"/>
          <w:lang w:eastAsia="en-US"/>
        </w:rPr>
        <w:t xml:space="preserve">еречень товаров, включенных в условный (минимальный) набор продуктов питания на год </w:t>
      </w:r>
      <w:r>
        <w:rPr>
          <w:sz w:val="22"/>
          <w:szCs w:val="22"/>
        </w:rPr>
        <w:t xml:space="preserve">(33 наименования)</w:t>
      </w:r>
      <w:r>
        <w:rPr>
          <w:rFonts w:eastAsia="Calibri"/>
          <w:sz w:val="22"/>
          <w:szCs w:val="22"/>
          <w:lang w:eastAsia="en-US"/>
        </w:rPr>
        <w:t xml:space="preserve">, установлен Приложением №</w:t>
      </w:r>
      <w:r>
        <w:rPr>
          <w:rFonts w:eastAsia="Calibri"/>
          <w:sz w:val="22"/>
          <w:szCs w:val="22"/>
          <w:lang w:eastAsia="en-US"/>
        </w:rPr>
        <w:t xml:space="preserve"> </w:t>
      </w:r>
      <w:r>
        <w:rPr>
          <w:rFonts w:eastAsia="Calibri"/>
          <w:sz w:val="22"/>
          <w:szCs w:val="22"/>
          <w:lang w:eastAsia="en-US"/>
        </w:rPr>
        <w:t xml:space="preserve">4 к </w:t>
      </w:r>
      <w:r>
        <w:rPr>
          <w:sz w:val="22"/>
          <w:szCs w:val="22"/>
        </w:rPr>
        <w:t xml:space="preserve">Приказ</w:t>
      </w:r>
      <w:r>
        <w:rPr>
          <w:sz w:val="22"/>
          <w:szCs w:val="22"/>
        </w:rPr>
        <w:t xml:space="preserve">у </w:t>
      </w:r>
      <w:r>
        <w:rPr>
          <w:sz w:val="22"/>
          <w:szCs w:val="22"/>
        </w:rPr>
        <w:t xml:space="preserve">федеральн</w:t>
      </w:r>
      <w:r>
        <w:rPr>
          <w:sz w:val="22"/>
          <w:szCs w:val="22"/>
        </w:rPr>
        <w:t xml:space="preserve">ой</w:t>
      </w:r>
      <w:r>
        <w:rPr>
          <w:sz w:val="22"/>
          <w:szCs w:val="22"/>
        </w:rPr>
        <w:t xml:space="preserve"> служб</w:t>
      </w:r>
      <w:r>
        <w:rPr>
          <w:sz w:val="22"/>
          <w:szCs w:val="22"/>
        </w:rPr>
        <w:t xml:space="preserve">ы</w:t>
      </w:r>
      <w:r>
        <w:rPr>
          <w:sz w:val="22"/>
          <w:szCs w:val="22"/>
        </w:rPr>
        <w:t xml:space="preserve"> государственной статистики от 18</w:t>
      </w:r>
      <w:r>
        <w:rPr>
          <w:sz w:val="22"/>
          <w:szCs w:val="22"/>
        </w:rPr>
        <w:t xml:space="preserve"> декабря </w:t>
      </w:r>
      <w:r>
        <w:rPr>
          <w:sz w:val="22"/>
          <w:szCs w:val="22"/>
        </w:rPr>
        <w:t xml:space="preserve">2025</w:t>
      </w:r>
      <w:r>
        <w:rPr>
          <w:sz w:val="22"/>
          <w:szCs w:val="22"/>
        </w:rPr>
        <w:t xml:space="preserve"> года № </w:t>
      </w:r>
      <w:r>
        <w:rPr>
          <w:sz w:val="22"/>
          <w:szCs w:val="22"/>
        </w:rPr>
        <w:t xml:space="preserve">727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 xml:space="preserve">Об утверждении наборов потребительских товаров и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услуг и перечня базовых городов Российской Федерации для наблюдения за ценами и тарифами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4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</w:t>
      </w:r>
      <w:r>
        <w:rPr>
          <w:color w:val="232222"/>
          <w:sz w:val="22"/>
          <w:szCs w:val="22"/>
          <w:shd w:val="clear" w:color="auto" w:fill="ffffff"/>
        </w:rPr>
        <w:t xml:space="preserve">оказатель, отражающий средний размер заработной платы, начисленной работникам за один месяц, без учета налогов и других удержаний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5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</w:t>
      </w:r>
      <w:r>
        <w:rPr>
          <w:sz w:val="22"/>
          <w:szCs w:val="22"/>
        </w:rPr>
        <w:t xml:space="preserve">остановление Правительства Чукотского автономного округа от 10</w:t>
      </w:r>
      <w:r>
        <w:rPr>
          <w:sz w:val="22"/>
          <w:szCs w:val="22"/>
        </w:rPr>
        <w:t xml:space="preserve"> ноября </w:t>
      </w:r>
      <w:r>
        <w:rPr>
          <w:sz w:val="22"/>
          <w:szCs w:val="22"/>
        </w:rPr>
        <w:t xml:space="preserve">2025</w:t>
      </w:r>
      <w:r>
        <w:rPr>
          <w:sz w:val="22"/>
          <w:szCs w:val="22"/>
        </w:rPr>
        <w:t xml:space="preserve"> года № </w:t>
      </w:r>
      <w:r>
        <w:rPr>
          <w:sz w:val="22"/>
          <w:szCs w:val="22"/>
        </w:rPr>
        <w:t xml:space="preserve">597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 xml:space="preserve">Об установлении величины прожиточного минимума на душу населения и по основным социально-демографическим группам населения в целом по Чукотскому автономному округу на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2026 год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6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</w:t>
      </w:r>
      <w:r>
        <w:rPr>
          <w:rFonts w:eastAsia="TimesNewRomanPSMT"/>
          <w:sz w:val="22"/>
          <w:szCs w:val="22"/>
          <w:lang w:eastAsia="en-US"/>
        </w:rPr>
        <w:t xml:space="preserve">По данным Единого реестра субъектов малого и среднего предпринимательства (</w:t>
      </w:r>
      <w:r>
        <w:rPr>
          <w:sz w:val="22"/>
          <w:szCs w:val="22"/>
        </w:rPr>
        <w:t xml:space="preserve">https://ofd.nalog.ru/statistics.html?statDate=&amp;level=0&amp;fo=8&amp;ssrf=87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7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</w:t>
      </w:r>
      <w:r>
        <w:rPr>
          <w:rFonts w:eastAsia="TimesNewRomanPSMT"/>
          <w:sz w:val="22"/>
          <w:szCs w:val="22"/>
          <w:lang w:eastAsia="en-US"/>
        </w:rPr>
        <w:t xml:space="preserve">По данным Единого реестра субъектов малого и среднего предпринимательства раздел «Статистика» (</w:t>
      </w:r>
      <w:r>
        <w:rPr>
          <w:rFonts w:eastAsia="TimesNewRomanPSMT"/>
          <w:sz w:val="22"/>
          <w:szCs w:val="22"/>
          <w:lang w:eastAsia="en-US"/>
        </w:rPr>
        <w:t xml:space="preserve">https://ofd.nalog.ru/statistics2.html?t=1762325498724</w:t>
      </w:r>
      <w:r>
        <w:rPr>
          <w:rFonts w:eastAsia="TimesNewRomanPSMT"/>
          <w:sz w:val="22"/>
          <w:szCs w:val="22"/>
          <w:lang w:eastAsia="en-US"/>
        </w:rPr>
        <w:t xml:space="preserve">)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8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Закон Чукотского автономного округа от 27</w:t>
      </w:r>
      <w:r>
        <w:rPr>
          <w:sz w:val="22"/>
          <w:szCs w:val="22"/>
        </w:rPr>
        <w:t xml:space="preserve"> февраля 2</w:t>
      </w:r>
      <w:r>
        <w:rPr>
          <w:sz w:val="22"/>
          <w:szCs w:val="22"/>
        </w:rPr>
        <w:t xml:space="preserve">026</w:t>
      </w:r>
      <w:r>
        <w:rPr>
          <w:sz w:val="22"/>
          <w:szCs w:val="22"/>
        </w:rPr>
        <w:t xml:space="preserve"> года № </w:t>
      </w:r>
      <w:r>
        <w:rPr>
          <w:sz w:val="22"/>
          <w:szCs w:val="22"/>
        </w:rPr>
        <w:t xml:space="preserve">2-ОЗ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 xml:space="preserve">О внесении изменений в Закон Чукотского автономного округа </w:t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Об окружном бюджете на 2026 год и на плановый период 2027 и 2028 годов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69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Закон Чукотского автономного округа от 24 мая 2002 года №</w:t>
      </w:r>
      <w:r>
        <w:t xml:space="preserve"> </w:t>
      </w:r>
      <w:r>
        <w:rPr>
          <w:sz w:val="22"/>
          <w:szCs w:val="22"/>
        </w:rPr>
        <w:t xml:space="preserve">31-ОЗ </w:t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О бюджетном процессе в Чукотском автономном округе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Закон о бюджетном процессе)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0">
    <w:p>
      <w:pPr>
        <w:pStyle w:val="4379"/>
        <w:ind w:firstLine="284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Статья 12 Закона об окружном бюджете 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1">
    <w:p>
      <w:pPr>
        <w:pStyle w:val="4379"/>
        <w:ind w:firstLine="284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Статья 4 Закона об окружном бюджете 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2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Порядок составления и ведения сводной бюджетной росписи окружного бюджета утвержден Приказом Департамента финансов и имущественных отношений Чукотского автономного округа от 21 марта 2024 года 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86 </w:t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Об утверждении Порядка составления и ведения сводной бюджетной росписи </w:t>
      </w:r>
      <w:r>
        <w:rPr>
          <w:sz w:val="22"/>
          <w:szCs w:val="22"/>
        </w:rPr>
        <w:t xml:space="preserve">окружного бюджета и бюджетных росписей главных распорядителей средств окружного бюджета (главных администраторов источников финансирования дефицита окружного бюджета)»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3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Отчет об исполнении окружного бюджета за </w:t>
      </w:r>
      <w:r>
        <w:rPr>
          <w:sz w:val="22"/>
          <w:szCs w:val="22"/>
        </w:rPr>
        <w:t xml:space="preserve">первый квартал </w:t>
      </w:r>
      <w:r>
        <w:rPr>
          <w:sz w:val="22"/>
          <w:szCs w:val="22"/>
        </w:rPr>
        <w:t xml:space="preserve">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года утвержден Распоряжением Правительства Чукотского автономного округа от </w:t>
      </w:r>
      <w:r>
        <w:rPr>
          <w:sz w:val="22"/>
          <w:szCs w:val="22"/>
        </w:rPr>
        <w:t xml:space="preserve">27 апреля 2026 года </w:t>
      </w:r>
      <w:r>
        <w:rPr>
          <w:sz w:val="22"/>
          <w:szCs w:val="22"/>
        </w:rPr>
        <w:t xml:space="preserve">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167-рп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4">
    <w:p>
      <w:pPr>
        <w:pStyle w:val="4379"/>
        <w:ind w:firstLine="284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Закон об окружном бюджете в редакции </w:t>
      </w:r>
      <w:r>
        <w:rPr>
          <w:sz w:val="22"/>
          <w:szCs w:val="22"/>
        </w:rPr>
        <w:t xml:space="preserve">в редакции от 27</w:t>
      </w:r>
      <w:r>
        <w:rPr>
          <w:sz w:val="22"/>
          <w:szCs w:val="22"/>
        </w:rPr>
        <w:t xml:space="preserve"> февраля </w:t>
      </w:r>
      <w:r>
        <w:rPr>
          <w:sz w:val="22"/>
          <w:szCs w:val="22"/>
        </w:rPr>
        <w:t xml:space="preserve">2026 г</w:t>
      </w:r>
      <w:r>
        <w:rPr>
          <w:sz w:val="22"/>
          <w:szCs w:val="22"/>
        </w:rPr>
        <w:t xml:space="preserve">ода № </w:t>
      </w:r>
      <w:r>
        <w:rPr>
          <w:sz w:val="22"/>
          <w:szCs w:val="22"/>
        </w:rPr>
        <w:t xml:space="preserve">2-ОЗ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5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Публично-правовая компания «Фонд развития территорий» создана на основании Федерального закона от 29 июля 2017 года № 218-ФЗ «О публично-правовой компании «Фонд ра</w:t>
      </w:r>
      <w:r>
        <w:rPr>
          <w:sz w:val="22"/>
          <w:szCs w:val="22"/>
        </w:rPr>
        <w:t xml:space="preserve">звития территорий» и о внесении изменений в отдельные законодательные акты Российской Федерации». Учредителем фонда является Российская Федерация. Функции и полномочия учредителя фонда от имени Российской Федерации осуществляет Министерство строительства и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жилищно-коммунального хозяйства Российской Федерации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6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Группа доходов 2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«Безвозмездные поступления от государственных </w:t>
      </w:r>
      <w:r>
        <w:rPr>
          <w:sz w:val="22"/>
          <w:szCs w:val="22"/>
        </w:rPr>
        <w:t xml:space="preserve">(муниципальных) </w:t>
      </w:r>
      <w:r>
        <w:rPr>
          <w:sz w:val="22"/>
          <w:szCs w:val="22"/>
        </w:rPr>
        <w:t xml:space="preserve">организаций», исполнитель мероприятия </w:t>
      </w:r>
      <w:r>
        <w:rPr>
          <w:sz w:val="22"/>
          <w:szCs w:val="22"/>
        </w:rPr>
        <w:t xml:space="preserve">Департамент строительства и жилищно-коммунального хозяйства Чукотского автономного округа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7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О</w:t>
      </w:r>
      <w:r>
        <w:rPr>
          <w:sz w:val="22"/>
          <w:szCs w:val="22"/>
        </w:rPr>
        <w:t xml:space="preserve">тветственный исполнитель Государственн</w:t>
      </w:r>
      <w:r>
        <w:rPr>
          <w:sz w:val="22"/>
          <w:szCs w:val="22"/>
        </w:rPr>
        <w:t xml:space="preserve">ой</w:t>
      </w:r>
      <w:r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 xml:space="preserve">ы </w:t>
      </w:r>
      <w:r>
        <w:rPr>
          <w:sz w:val="22"/>
          <w:szCs w:val="22"/>
        </w:rPr>
        <w:t xml:space="preserve">«Развитие жилищно-коммунального хозяйства и водохозяйственного комплекса Чукотского автономного округа»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Департамент строительства и жилищно-коммунального хозяйства Чукотского автономного округа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8">
    <w:p>
      <w:pPr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Ц</w:t>
      </w:r>
      <w:r>
        <w:rPr>
          <w:rFonts w:eastAsiaTheme="minorHAnsi"/>
          <w:sz w:val="22"/>
          <w:szCs w:val="22"/>
          <w:lang w:eastAsia="en-US"/>
        </w:rPr>
        <w:t xml:space="preserve">елевая статья </w:t>
      </w:r>
      <w:r>
        <w:rPr>
          <w:sz w:val="22"/>
          <w:szCs w:val="22"/>
        </w:rPr>
        <w:t xml:space="preserve">0840261060 в рамках реализации к</w:t>
      </w:r>
      <w:r>
        <w:rPr>
          <w:rFonts w:eastAsiaTheme="minorHAnsi"/>
          <w:sz w:val="22"/>
          <w:szCs w:val="22"/>
          <w:lang w:eastAsia="en-US"/>
        </w:rPr>
        <w:t xml:space="preserve">омплекса процессных мероприятий</w:t>
      </w:r>
      <w:r>
        <w:rPr>
          <w:rFonts w:eastAsiaTheme="minorHAnsi"/>
          <w:sz w:val="22"/>
          <w:szCs w:val="22"/>
          <w:lang w:eastAsia="en-US"/>
        </w:rPr>
        <w:t xml:space="preserve"> «Оказание поддержки ресурсоснабжающим организациям в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целях бесперебойного обеспечения коммунальными услугами потребителей» 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79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Целевая статья 0840261120 в рамках реализации к</w:t>
      </w:r>
      <w:r>
        <w:rPr>
          <w:rFonts w:eastAsiaTheme="minorHAnsi"/>
          <w:sz w:val="22"/>
          <w:szCs w:val="22"/>
          <w:lang w:eastAsia="en-US"/>
        </w:rPr>
        <w:t xml:space="preserve">омплекс</w:t>
      </w:r>
      <w:r>
        <w:rPr>
          <w:rFonts w:eastAsiaTheme="minorHAnsi"/>
          <w:sz w:val="22"/>
          <w:szCs w:val="22"/>
          <w:lang w:eastAsia="en-US"/>
        </w:rPr>
        <w:t xml:space="preserve">а</w:t>
      </w:r>
      <w:r>
        <w:rPr>
          <w:rFonts w:eastAsiaTheme="minorHAnsi"/>
          <w:sz w:val="22"/>
          <w:szCs w:val="22"/>
          <w:lang w:eastAsia="en-US"/>
        </w:rPr>
        <w:t xml:space="preserve"> процессных мероприятий «Оказание поддержки ресурсоснабжающим организациям в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целях бесперебойного обеспечения коммунальными услугами потребителей» 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0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Ответственный исполнитель Государственной программы «Развитие образования и науки Чукотского автономного округа» – Департамент образования и науки Чукотского автономного округа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1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Ответственный исполнитель Государственной программы «Социальная поддержка населения Чукотского автономного округа» – Департамент социальной политики Чукотского автономного округа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2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Постановление Правительства Чукотского автономного округа от 18 декабря 2001 года 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187 </w:t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Об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утверждении Положения о порядке расходования средств резервного фонда Правительства Чукотского автономного округа на непредвиденные расходы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3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Соглашение с Министерством финансов Российской Федерации о</w:t>
      </w:r>
      <w:r>
        <w:rPr>
          <w:sz w:val="22"/>
          <w:szCs w:val="22"/>
        </w:rPr>
        <w:t xml:space="preserve"> предоставлении бюджету Чукотского автономного округа из федерального бюджета бюджетного кредита на финансовое обеспечение реализации инфраструктурных проектов от 13 января 2022 года № 01-01-06/06-5 (247 942,5 тыс. рублей, срок возврата кредита – 2037 год)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4379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Соглашение с Министерством финансов Российской Федерации о пре</w:t>
      </w:r>
      <w:r>
        <w:rPr>
          <w:sz w:val="22"/>
          <w:szCs w:val="22"/>
        </w:rPr>
        <w:t xml:space="preserve">доставлении бюджету Чукотского автономного округа из федерального бюджета бюджетного кредита на финансовое обеспечение реализации инфраструктурных проектов от 28 августа 2024 года № 2024-00192 (в редакции дополнительного соглашения от 12 декабря 2024 года </w:t>
      </w:r>
      <w:r>
        <w:rPr>
          <w:sz w:val="22"/>
          <w:szCs w:val="22"/>
          <w:lang w:eastAsia="en-US"/>
        </w:rPr>
        <w:t xml:space="preserve">№</w:t>
      </w:r>
      <w:r>
        <w:rPr>
          <w:sz w:val="22"/>
          <w:szCs w:val="22"/>
          <w:lang w:eastAsia="en-US"/>
        </w:rPr>
        <w:t xml:space="preserve"> </w:t>
      </w:r>
      <w:r>
        <w:rPr>
          <w:sz w:val="22"/>
          <w:szCs w:val="22"/>
          <w:lang w:eastAsia="en-US"/>
        </w:rPr>
        <w:t xml:space="preserve">2024-00192/1) (</w:t>
      </w:r>
      <w:r>
        <w:rPr>
          <w:sz w:val="22"/>
          <w:szCs w:val="22"/>
        </w:rPr>
        <w:t xml:space="preserve">85 519,0 тыс. рублей, </w:t>
      </w:r>
      <w:r>
        <w:rPr>
          <w:sz w:val="22"/>
          <w:szCs w:val="22"/>
          <w:lang w:eastAsia="en-US"/>
        </w:rPr>
        <w:t xml:space="preserve">срок возврата кредита – 2039 год)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4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</w:t>
      </w:r>
      <w:bookmarkStart w:id="0" w:name="undefined"/>
      <w:r>
        <w:rPr>
          <w:sz w:val="22"/>
          <w:szCs w:val="22"/>
        </w:rPr>
        <w:t xml:space="preserve">Соглашение с Управлением Федерального казна</w:t>
      </w:r>
      <w:r>
        <w:rPr>
          <w:sz w:val="22"/>
          <w:szCs w:val="22"/>
        </w:rPr>
        <w:t xml:space="preserve">чейства по Чукотскому автономному округу о предоставлении бюджету Чукотского автономного округа бюджетного кредита за счет временно свободных средств единого счета федерального бюджета от 25 октября 2023 года № 2023-00215 (срок возврата кредита – 2038 год)</w:t>
      </w:r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5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Соглашение с Управлением Федерального казначейства по Чукотскому автономному округу о предоставлении бюджету Чукотского автономного округа бюджетного кредита на пополнение остатка средств на едином счете бюджета от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24</w:t>
      </w:r>
      <w:r>
        <w:rPr>
          <w:sz w:val="22"/>
          <w:szCs w:val="22"/>
        </w:rPr>
        <w:t xml:space="preserve"> февраля </w:t>
      </w:r>
      <w:r>
        <w:rPr>
          <w:sz w:val="22"/>
          <w:szCs w:val="22"/>
        </w:rPr>
        <w:t xml:space="preserve">2026</w:t>
      </w:r>
      <w:r>
        <w:rPr>
          <w:sz w:val="22"/>
          <w:szCs w:val="22"/>
        </w:rPr>
        <w:t xml:space="preserve"> года </w:t>
      </w:r>
      <w:r>
        <w:rPr>
          <w:sz w:val="22"/>
          <w:szCs w:val="22"/>
        </w:rPr>
        <w:t xml:space="preserve">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88-09-39/1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6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Постановление Правительства Чукотского автономного округа от 26 декабря 2025 года № 693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7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Постановление Правительства Чукотского автономного округа от 22 июля 2024 года № 237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8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Постановлени</w:t>
      </w:r>
      <w:r>
        <w:rPr>
          <w:sz w:val="22"/>
          <w:szCs w:val="22"/>
        </w:rPr>
        <w:t xml:space="preserve">я</w:t>
      </w:r>
      <w:r>
        <w:rPr>
          <w:sz w:val="22"/>
          <w:szCs w:val="22"/>
        </w:rPr>
        <w:t xml:space="preserve"> Правительства Чукотского автономного округа от 19 декабря 2025 года</w:t>
      </w:r>
      <w:r>
        <w:rPr>
          <w:sz w:val="22"/>
          <w:szCs w:val="22"/>
        </w:rPr>
        <w:br/>
        <w:t xml:space="preserve">№ 651 – 1 000 000,0 тыс. рублей, от 19 декабря 2025 года № 652 – 700 000,0 тыс. рублей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от 19 декабря 2025 </w:t>
      </w:r>
      <w:r>
        <w:rPr>
          <w:sz w:val="22"/>
          <w:szCs w:val="22"/>
        </w:rPr>
        <w:t xml:space="preserve">года </w:t>
      </w:r>
      <w:r>
        <w:rPr>
          <w:sz w:val="22"/>
          <w:szCs w:val="22"/>
        </w:rPr>
        <w:t xml:space="preserve">№ 653 – 700 000,0 тыс. рублей, от 19 декабря 2025 года № 654 – 8 000 000,0 тыс. рублей, от 19 декабря 2025 года № 658 – 3 000 000,0 тыс. рублей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89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Постановлени</w:t>
      </w:r>
      <w:r>
        <w:rPr>
          <w:sz w:val="22"/>
          <w:szCs w:val="22"/>
        </w:rPr>
        <w:t xml:space="preserve">я</w:t>
      </w:r>
      <w:r>
        <w:rPr>
          <w:sz w:val="22"/>
          <w:szCs w:val="22"/>
        </w:rPr>
        <w:t xml:space="preserve"> Правительства Чукотского автономного округа от 19 декабря 2025 года</w:t>
      </w:r>
      <w:r>
        <w:rPr>
          <w:sz w:val="22"/>
          <w:szCs w:val="22"/>
        </w:rPr>
        <w:br/>
        <w:t xml:space="preserve">№ 656 – 50 000,0 тыс. рублей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от 19 декабря 2025 года № 657 – 200 000,0 тыс. рублей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90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Постановление Правительства Чукотского автономного округа от 30 марта 2026 года № 84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91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Постановлени</w:t>
      </w:r>
      <w:r>
        <w:rPr>
          <w:sz w:val="22"/>
          <w:szCs w:val="22"/>
        </w:rPr>
        <w:t xml:space="preserve">я</w:t>
      </w:r>
      <w:r>
        <w:rPr>
          <w:sz w:val="22"/>
          <w:szCs w:val="22"/>
        </w:rPr>
        <w:t xml:space="preserve"> Правительства Чукотского автономного округа от 19 декабря 2025 года</w:t>
      </w:r>
      <w:r>
        <w:rPr>
          <w:sz w:val="22"/>
          <w:szCs w:val="22"/>
        </w:rPr>
        <w:br/>
        <w:t xml:space="preserve">№ 650 – 470 000,0 тыс. рублей, от 19 декабря 2025 года № 655 – 45 000,0 тыс. рублей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92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Код бюджетной классификации </w:t>
      </w:r>
      <w:r>
        <w:rPr>
          <w:sz w:val="22"/>
          <w:szCs w:val="22"/>
        </w:rPr>
        <w:t xml:space="preserve">905</w:t>
      </w: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11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03020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02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0000</w:t>
      </w: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120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 xml:space="preserve">Проценты, полученные от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предоставления бюджетных кредитов внутри страны за счет средств бюджетов субъектов Российской Федерации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93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Исковые требования от 23 сентября 2025 года 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07-1/3359, от 22 сентября 2025 года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07-1/3360</w:t>
      </w:r>
      <w:r>
        <w:rPr>
          <w:sz w:val="22"/>
          <w:szCs w:val="22"/>
        </w:rPr>
        <w:t xml:space="preserve"> и </w:t>
      </w:r>
      <w:r>
        <w:rPr>
          <w:sz w:val="22"/>
          <w:szCs w:val="22"/>
        </w:rPr>
        <w:t xml:space="preserve">от 22 сентября 2025 года № 07-1/3361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94">
    <w:p>
      <w:pPr>
        <w:pStyle w:val="4379"/>
        <w:ind w:firstLine="284"/>
        <w:jc w:val="both"/>
        <w:rPr>
          <w:sz w:val="22"/>
          <w:szCs w:val="22"/>
        </w:rPr>
      </w:pPr>
      <w:r>
        <w:rPr>
          <w:rStyle w:val="4381"/>
          <w:sz w:val="22"/>
          <w:szCs w:val="22"/>
        </w:rPr>
        <w:footnoteRef/>
      </w:r>
      <w:r>
        <w:rPr>
          <w:sz w:val="22"/>
          <w:szCs w:val="22"/>
        </w:rPr>
        <w:t xml:space="preserve"> Решения Арбитражного суда Чукотского автономного округа от 30 марта 2026 года по делу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А80-638/2025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 взыскании задолженности с Непубличного акционерного общества «Чукотская торговая компания</w:t>
      </w:r>
      <w:r>
        <w:rPr>
          <w:sz w:val="22"/>
          <w:szCs w:val="22"/>
        </w:rPr>
        <w:t xml:space="preserve">», от 10 апреля 2026 года по делу</w:t>
      </w:r>
      <w:r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А80-636/2025 о взыскании задолженности с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Общества с ограниченной ответственностью «Тепло-Лаврентия»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от 4 марта 2026 года по делу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А80-637/2025</w:t>
      </w:r>
      <w:r>
        <w:rPr>
          <w:sz w:val="22"/>
          <w:szCs w:val="22"/>
        </w:rPr>
        <w:t xml:space="preserve"> о взыскании задолженности </w:t>
      </w:r>
      <w:r>
        <w:rPr>
          <w:sz w:val="22"/>
          <w:szCs w:val="22"/>
        </w:rPr>
        <w:t xml:space="preserve">с Общества с ограниченной ответственностью «Тепло-</w:t>
      </w:r>
      <w:r>
        <w:rPr>
          <w:sz w:val="22"/>
          <w:szCs w:val="22"/>
        </w:rPr>
        <w:t xml:space="preserve">Лорино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</w:r>
      <w:r>
        <w:rPr>
          <w:sz w:val="22"/>
          <w:szCs w:val="22"/>
        </w:rPr>
      </w:r>
    </w:p>
  </w:footnote>
  <w:footnote w:id="195">
    <w:p>
      <w:pPr>
        <w:pStyle w:val="4379"/>
        <w:rPr>
          <w:rFonts w:ascii="Times New Roman" w:hAnsi="Times New Roman" w:cs="Times New Roman"/>
        </w:rPr>
      </w:pPr>
      <w:r>
        <w:rPr>
          <w:rStyle w:val="438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далее – Счетная палата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96">
    <w:p>
      <w:pPr>
        <w:pStyle w:val="4379"/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4381"/>
          <w:color w:val="000000" w:themeColor="text1"/>
        </w:rPr>
        <w:footnoteRef/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Постановление Правительства Чукотского автономного округа от 07.09.2018г. №286 «Об утверждении Положения об организации проектной деятельности в Чукотском автономном округе» (далее – Постановление №286)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4379"/>
      </w:pPr>
      <w:r/>
      <w:r/>
    </w:p>
  </w:footnote>
  <w:footnote w:id="197">
    <w:p>
      <w:pPr>
        <w:pStyle w:val="4379"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Style w:val="4381"/>
          <w:rFonts w:ascii="Times New Roman" w:hAnsi="Times New Roman" w:cs="Times New Roman"/>
          <w:color w:val="000000" w:themeColor="text1"/>
          <w:sz w:val="18"/>
          <w:szCs w:val="18"/>
          <w:highlight w:val="white"/>
        </w:rPr>
        <w:footnoteRef/>
      </w:r>
      <w:r>
        <w:rPr>
          <w:rFonts w:ascii="Times New Roman" w:hAnsi="Times New Roman" w:eastAsia="Times New Roman" w:cs="Times New Roman"/>
          <w:color w:val="000000" w:themeColor="text1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highlight w:val="white"/>
        </w:rPr>
        <w:t xml:space="preserve">Закон Чукотского автономного округа от 03.12.2025 N 95-ОЗ (ред. от 07.05.2026) "Об окружном бюджете на 2026 год и на плановый период 2027 и 2028 годов"</w:t>
      </w:r>
      <w:r>
        <w:rPr>
          <w:rFonts w:ascii="Times New Roman" w:hAnsi="Times New Roman" w:eastAsia="Times New Roman" w:cs="Times New Roman"/>
          <w:color w:val="000000" w:themeColor="text1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highlight w:val="white"/>
        </w:rPr>
        <w:t xml:space="preserve">(далее – Закон №95-ОЗ, Закон об окружном бюджете на 2026  год)</w:t>
      </w:r>
      <w:r>
        <w:rPr>
          <w:rFonts w:ascii="Times New Roman" w:hAnsi="Times New Roman" w:cs="Times New Roman"/>
          <w:color w:val="000000" w:themeColor="text1"/>
          <w:highlight w:val="white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387"/>
      <w:jc w:val="center"/>
    </w:pPr>
    <w:fldSimple w:instr="PAGE \* MERGEFORMAT">
      <w:r>
        <w:t xml:space="preserve">1</w:t>
      </w:r>
    </w:fldSimple>
    <w:r/>
    <w:r/>
  </w:p>
  <w:p>
    <w:pPr>
      <w:pStyle w:val="43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2018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0">
    <w:multiLevelType w:val="hybridMultilevel"/>
    <w:lvl w:ilvl="0">
      <w:start w:val="2018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pStyle w:val="4552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multiLevelType w:val="hybridMultilevel"/>
    <w:lvl w:ilvl="0">
      <w:start w:val="16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2018"/>
      <w:numFmt w:val="bullet"/>
      <w:isLgl w:val="false"/>
      <w:suff w:val="tab"/>
      <w:lvlText w:val=""/>
      <w:lvlJc w:val="left"/>
      <w:pPr>
        <w:ind w:left="1789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 w:eastAsiaTheme="minorEastAsia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16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06"/>
      <w:numFmt w:val="bullet"/>
      <w:isLgl w:val="false"/>
      <w:suff w:val="tab"/>
      <w:lvlText w:val=""/>
      <w:lvlJc w:val="left"/>
      <w:pPr>
        <w:ind w:left="1068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21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22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3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21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22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3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63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35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7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9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1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3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5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7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97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0"/>
  </w:num>
  <w:num w:numId="5">
    <w:abstractNumId w:val="20"/>
  </w:num>
  <w:num w:numId="6">
    <w:abstractNumId w:val="15"/>
  </w:num>
  <w:num w:numId="7">
    <w:abstractNumId w:val="16"/>
  </w:num>
  <w:num w:numId="8">
    <w:abstractNumId w:val="19"/>
  </w:num>
  <w:num w:numId="9">
    <w:abstractNumId w:val="21"/>
  </w:num>
  <w:num w:numId="10">
    <w:abstractNumId w:val="13"/>
  </w:num>
  <w:num w:numId="11">
    <w:abstractNumId w:val="4"/>
  </w:num>
  <w:num w:numId="12">
    <w:abstractNumId w:val="24"/>
  </w:num>
  <w:num w:numId="13">
    <w:abstractNumId w:val="7"/>
  </w:num>
  <w:num w:numId="14">
    <w:abstractNumId w:val="5"/>
  </w:num>
  <w:num w:numId="15">
    <w:abstractNumId w:val="8"/>
  </w:num>
  <w:num w:numId="16">
    <w:abstractNumId w:val="3"/>
  </w:num>
  <w:num w:numId="17">
    <w:abstractNumId w:val="10"/>
  </w:num>
  <w:num w:numId="18">
    <w:abstractNumId w:val="14"/>
  </w:num>
  <w:num w:numId="19">
    <w:abstractNumId w:val="22"/>
  </w:num>
  <w:num w:numId="20">
    <w:abstractNumId w:val="12"/>
  </w:num>
  <w:num w:numId="21">
    <w:abstractNumId w:val="9"/>
  </w:num>
  <w:num w:numId="22">
    <w:abstractNumId w:val="23"/>
  </w:num>
  <w:num w:numId="23">
    <w:abstractNumId w:val="1"/>
  </w:num>
  <w:num w:numId="24">
    <w:abstractNumId w:val="6"/>
  </w:num>
  <w:num w:numId="25">
    <w:abstractNumId w:val="18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209">
    <w:name w:val="Heading 1 Char"/>
    <w:basedOn w:val="4369"/>
    <w:link w:val="436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4210">
    <w:name w:val="Heading 2 Char"/>
    <w:basedOn w:val="4369"/>
    <w:link w:val="4361"/>
    <w:uiPriority w:val="9"/>
    <w:rPr>
      <w:rFonts w:ascii="Liberation Sans" w:hAnsi="Liberation Sans" w:eastAsia="Liberation Sans" w:cs="Liberation Sans"/>
      <w:sz w:val="34"/>
    </w:rPr>
  </w:style>
  <w:style w:type="character" w:styleId="4211">
    <w:name w:val="Heading 3 Char"/>
    <w:basedOn w:val="4369"/>
    <w:link w:val="436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4212">
    <w:name w:val="Heading 4 Char"/>
    <w:basedOn w:val="4369"/>
    <w:link w:val="43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4213">
    <w:name w:val="Heading 5 Char"/>
    <w:basedOn w:val="4369"/>
    <w:link w:val="43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4214">
    <w:name w:val="Heading 6 Char"/>
    <w:basedOn w:val="4369"/>
    <w:link w:val="43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4215">
    <w:name w:val="Heading 7 Char"/>
    <w:basedOn w:val="4369"/>
    <w:link w:val="43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4216">
    <w:name w:val="Heading 8 Char"/>
    <w:basedOn w:val="4369"/>
    <w:link w:val="436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4217">
    <w:name w:val="Heading 9 Char"/>
    <w:basedOn w:val="4369"/>
    <w:link w:val="436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4218">
    <w:name w:val="Title Char"/>
    <w:basedOn w:val="4369"/>
    <w:link w:val="4372"/>
    <w:uiPriority w:val="10"/>
    <w:rPr>
      <w:sz w:val="48"/>
      <w:szCs w:val="48"/>
    </w:rPr>
  </w:style>
  <w:style w:type="character" w:styleId="4219">
    <w:name w:val="Subtitle Char"/>
    <w:basedOn w:val="4369"/>
    <w:link w:val="4499"/>
    <w:uiPriority w:val="11"/>
    <w:rPr>
      <w:sz w:val="24"/>
      <w:szCs w:val="24"/>
    </w:rPr>
  </w:style>
  <w:style w:type="character" w:styleId="4220">
    <w:name w:val="Quote Char"/>
    <w:link w:val="4564"/>
    <w:uiPriority w:val="29"/>
    <w:rPr>
      <w:i/>
    </w:rPr>
  </w:style>
  <w:style w:type="paragraph" w:styleId="4221">
    <w:name w:val="Intense Quote"/>
    <w:basedOn w:val="4359"/>
    <w:next w:val="4359"/>
    <w:link w:val="42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22">
    <w:name w:val="Intense Quote Char"/>
    <w:link w:val="4221"/>
    <w:uiPriority w:val="30"/>
    <w:rPr>
      <w:i/>
    </w:rPr>
  </w:style>
  <w:style w:type="character" w:styleId="4223">
    <w:name w:val="Header Char"/>
    <w:basedOn w:val="4369"/>
    <w:link w:val="4387"/>
    <w:uiPriority w:val="99"/>
  </w:style>
  <w:style w:type="character" w:styleId="4224">
    <w:name w:val="Footer Char"/>
    <w:basedOn w:val="4369"/>
    <w:link w:val="4389"/>
    <w:uiPriority w:val="99"/>
  </w:style>
  <w:style w:type="character" w:styleId="4225">
    <w:name w:val="Caption Char"/>
    <w:basedOn w:val="4369"/>
    <w:link w:val="4528"/>
    <w:uiPriority w:val="35"/>
    <w:rPr>
      <w:b/>
      <w:bCs/>
      <w:color w:val="4f81bd" w:themeColor="accent1"/>
      <w:sz w:val="18"/>
      <w:szCs w:val="18"/>
    </w:rPr>
  </w:style>
  <w:style w:type="table" w:styleId="4226">
    <w:name w:val="Table Grid Light"/>
    <w:basedOn w:val="43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27">
    <w:name w:val="Plain Table 1"/>
    <w:basedOn w:val="43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4228">
    <w:name w:val="Plain Table 2"/>
    <w:basedOn w:val="43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4229">
    <w:name w:val="Plain Table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30">
    <w:name w:val="Plain Table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31">
    <w:name w:val="Plain Table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4232">
    <w:name w:val="Grid Table 1 Light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33">
    <w:name w:val="Grid Table 1 Light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34">
    <w:name w:val="Grid Table 1 Light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35">
    <w:name w:val="Grid Table 1 Light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36">
    <w:name w:val="Grid Table 1 Light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37">
    <w:name w:val="Grid Table 1 Light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38">
    <w:name w:val="Grid Table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39">
    <w:name w:val="Grid Table 2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0">
    <w:name w:val="Grid Table 2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1">
    <w:name w:val="Grid Table 2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2">
    <w:name w:val="Grid Table 2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3">
    <w:name w:val="Grid Table 2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4">
    <w:name w:val="Grid Table 2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5">
    <w:name w:val="Grid Table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6">
    <w:name w:val="Grid Table 3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7">
    <w:name w:val="Grid Table 3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8">
    <w:name w:val="Grid Table 3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49">
    <w:name w:val="Grid Table 3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50">
    <w:name w:val="Grid Table 3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51">
    <w:name w:val="Grid Table 3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52">
    <w:name w:val="Grid Table 4"/>
    <w:basedOn w:val="43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4253">
    <w:name w:val="Grid Table 4 - Accent 1"/>
    <w:basedOn w:val="43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4254">
    <w:name w:val="Grid Table 4 - Accent 2"/>
    <w:basedOn w:val="43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4255">
    <w:name w:val="Grid Table 4 - Accent 3"/>
    <w:basedOn w:val="43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4256">
    <w:name w:val="Grid Table 4 - Accent 4"/>
    <w:basedOn w:val="43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4257">
    <w:name w:val="Grid Table 4 - Accent 5"/>
    <w:basedOn w:val="43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4258">
    <w:name w:val="Grid Table 4 - Accent 6"/>
    <w:basedOn w:val="43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4259">
    <w:name w:val="Grid Table 5 Dark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4260">
    <w:name w:val="Grid Table 5 Dark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4261">
    <w:name w:val="Grid Table 5 Dark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4262">
    <w:name w:val="Grid Table 5 Dark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4263">
    <w:name w:val="Grid Table 5 Dark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4264">
    <w:name w:val="Grid Table 5 Dark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4265">
    <w:name w:val="Grid Table 5 Dark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4266">
    <w:name w:val="Grid Table 6 Colorful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4267">
    <w:name w:val="Grid Table 6 Colorful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4268">
    <w:name w:val="Grid Table 6 Colorful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4269">
    <w:name w:val="Grid Table 6 Colorful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4270">
    <w:name w:val="Grid Table 6 Colorful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4271">
    <w:name w:val="Grid Table 6 Colorful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4272">
    <w:name w:val="Grid Table 6 Colorful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4273">
    <w:name w:val="Grid Table 7 Colorful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74">
    <w:name w:val="Grid Table 7 Colorful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75">
    <w:name w:val="Grid Table 7 Colorful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76">
    <w:name w:val="Grid Table 7 Colorful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77">
    <w:name w:val="Grid Table 7 Colorful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78">
    <w:name w:val="Grid Table 7 Colorful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79">
    <w:name w:val="Grid Table 7 Colorful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80">
    <w:name w:val="List Table 1 Light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81">
    <w:name w:val="List Table 1 Light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82">
    <w:name w:val="List Table 1 Light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83">
    <w:name w:val="List Table 1 Light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84">
    <w:name w:val="List Table 1 Light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85">
    <w:name w:val="List Table 1 Light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86">
    <w:name w:val="List Table 1 Light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4287">
    <w:name w:val="List Table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4288">
    <w:name w:val="List Table 2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4289">
    <w:name w:val="List Table 2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4290">
    <w:name w:val="List Table 2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4291">
    <w:name w:val="List Table 2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4292">
    <w:name w:val="List Table 2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4293">
    <w:name w:val="List Table 2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4294">
    <w:name w:val="List Table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5">
    <w:name w:val="List Table 3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6">
    <w:name w:val="List Table 3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7">
    <w:name w:val="List Table 3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8">
    <w:name w:val="List Table 3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9">
    <w:name w:val="List Table 3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0">
    <w:name w:val="List Table 3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1">
    <w:name w:val="List Table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2">
    <w:name w:val="List Table 4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3">
    <w:name w:val="List Table 4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4">
    <w:name w:val="List Table 4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5">
    <w:name w:val="List Table 4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6">
    <w:name w:val="List Table 4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7">
    <w:name w:val="List Table 4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8">
    <w:name w:val="List Table 5 Dark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4309">
    <w:name w:val="List Table 5 Dark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4310">
    <w:name w:val="List Table 5 Dark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4311">
    <w:name w:val="List Table 5 Dark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4312">
    <w:name w:val="List Table 5 Dark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4313">
    <w:name w:val="List Table 5 Dark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4314">
    <w:name w:val="List Table 5 Dark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4315">
    <w:name w:val="List Table 6 Colorful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4316">
    <w:name w:val="List Table 6 Colorful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4317">
    <w:name w:val="List Table 6 Colorful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4318">
    <w:name w:val="List Table 6 Colorful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4319">
    <w:name w:val="List Table 6 Colorful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4320">
    <w:name w:val="List Table 6 Colorful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4321">
    <w:name w:val="List Table 6 Colorful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4322">
    <w:name w:val="List Table 7 Colorful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4323">
    <w:name w:val="List Table 7 Colorful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4324">
    <w:name w:val="List Table 7 Colorful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4325">
    <w:name w:val="List Table 7 Colorful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4326">
    <w:name w:val="List Table 7 Colorful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4327">
    <w:name w:val="List Table 7 Colorful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4328">
    <w:name w:val="List Table 7 Colorful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4329">
    <w:name w:val="Lined - Accent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4330">
    <w:name w:val="Lined - Accent 1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4331">
    <w:name w:val="Lined - Accent 2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4332">
    <w:name w:val="Lined - Accent 3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4333">
    <w:name w:val="Lined - Accent 4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4334">
    <w:name w:val="Lined - Accent 5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4335">
    <w:name w:val="Lined - Accent 6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4336">
    <w:name w:val="Bordered &amp; Lined - Accent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4337">
    <w:name w:val="Bordered &amp; Lined - Accent 1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4338">
    <w:name w:val="Bordered &amp; Lined - Accent 2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4339">
    <w:name w:val="Bordered &amp; Lined - Accent 3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4340">
    <w:name w:val="Bordered &amp; Lined - Accent 4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4341">
    <w:name w:val="Bordered &amp; Lined - Accent 5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4342">
    <w:name w:val="Bordered &amp; Lined - Accent 6"/>
    <w:basedOn w:val="43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4343">
    <w:name w:val="Bordered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344">
    <w:name w:val="Bordered - Accent 1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345">
    <w:name w:val="Bordered - Accent 2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346">
    <w:name w:val="Bordered - Accent 3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347">
    <w:name w:val="Bordered - Accent 4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348">
    <w:name w:val="Bordered - Accent 5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349">
    <w:name w:val="Bordered - Accent 6"/>
    <w:basedOn w:val="43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350">
    <w:name w:val="Footnote Text Char"/>
    <w:link w:val="4379"/>
    <w:uiPriority w:val="99"/>
    <w:rPr>
      <w:sz w:val="18"/>
    </w:rPr>
  </w:style>
  <w:style w:type="character" w:styleId="4351">
    <w:name w:val="Endnote Text Char"/>
    <w:link w:val="4462"/>
    <w:uiPriority w:val="99"/>
    <w:rPr>
      <w:sz w:val="20"/>
    </w:rPr>
  </w:style>
  <w:style w:type="paragraph" w:styleId="4352">
    <w:name w:val="toc 4"/>
    <w:basedOn w:val="4359"/>
    <w:next w:val="4359"/>
    <w:uiPriority w:val="39"/>
    <w:unhideWhenUsed/>
    <w:pPr>
      <w:ind w:left="850" w:right="0" w:firstLine="0"/>
      <w:spacing w:after="57"/>
    </w:pPr>
  </w:style>
  <w:style w:type="paragraph" w:styleId="4353">
    <w:name w:val="toc 5"/>
    <w:basedOn w:val="4359"/>
    <w:next w:val="4359"/>
    <w:uiPriority w:val="39"/>
    <w:unhideWhenUsed/>
    <w:pPr>
      <w:ind w:left="1134" w:right="0" w:firstLine="0"/>
      <w:spacing w:after="57"/>
    </w:pPr>
  </w:style>
  <w:style w:type="paragraph" w:styleId="4354">
    <w:name w:val="toc 6"/>
    <w:basedOn w:val="4359"/>
    <w:next w:val="4359"/>
    <w:uiPriority w:val="39"/>
    <w:unhideWhenUsed/>
    <w:pPr>
      <w:ind w:left="1417" w:right="0" w:firstLine="0"/>
      <w:spacing w:after="57"/>
    </w:pPr>
  </w:style>
  <w:style w:type="paragraph" w:styleId="4355">
    <w:name w:val="toc 7"/>
    <w:basedOn w:val="4359"/>
    <w:next w:val="4359"/>
    <w:uiPriority w:val="39"/>
    <w:unhideWhenUsed/>
    <w:pPr>
      <w:ind w:left="1701" w:right="0" w:firstLine="0"/>
      <w:spacing w:after="57"/>
    </w:pPr>
  </w:style>
  <w:style w:type="paragraph" w:styleId="4356">
    <w:name w:val="toc 8"/>
    <w:basedOn w:val="4359"/>
    <w:next w:val="4359"/>
    <w:uiPriority w:val="39"/>
    <w:unhideWhenUsed/>
    <w:pPr>
      <w:ind w:left="1984" w:right="0" w:firstLine="0"/>
      <w:spacing w:after="57"/>
    </w:pPr>
  </w:style>
  <w:style w:type="paragraph" w:styleId="4357">
    <w:name w:val="toc 9"/>
    <w:basedOn w:val="4359"/>
    <w:next w:val="4359"/>
    <w:uiPriority w:val="39"/>
    <w:unhideWhenUsed/>
    <w:pPr>
      <w:ind w:left="2268" w:right="0" w:firstLine="0"/>
      <w:spacing w:after="57"/>
    </w:pPr>
  </w:style>
  <w:style w:type="paragraph" w:styleId="4358">
    <w:name w:val="table of figures"/>
    <w:basedOn w:val="4359"/>
    <w:next w:val="4359"/>
    <w:uiPriority w:val="99"/>
    <w:unhideWhenUsed/>
    <w:pPr>
      <w:spacing w:after="0" w:afterAutospacing="0"/>
    </w:pPr>
  </w:style>
  <w:style w:type="paragraph" w:styleId="435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360">
    <w:name w:val="Heading 1"/>
    <w:basedOn w:val="4359"/>
    <w:next w:val="4359"/>
    <w:link w:val="4392"/>
    <w:qFormat/>
    <w:pPr>
      <w:jc w:val="center"/>
      <w:spacing w:before="108" w:after="108"/>
      <w:outlineLvl w:val="0"/>
    </w:pPr>
    <w:rPr>
      <w:rFonts w:ascii="Arial" w:hAnsi="Arial" w:cs="Arial" w:eastAsiaTheme="minorHAnsi"/>
      <w:b/>
      <w:bCs/>
      <w:color w:val="26282f"/>
      <w:lang w:eastAsia="en-US"/>
    </w:rPr>
  </w:style>
  <w:style w:type="paragraph" w:styleId="4361">
    <w:name w:val="Heading 2"/>
    <w:basedOn w:val="4359"/>
    <w:next w:val="4359"/>
    <w:link w:val="4395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362">
    <w:name w:val="Heading 3"/>
    <w:basedOn w:val="4359"/>
    <w:next w:val="4359"/>
    <w:link w:val="4396"/>
    <w:uiPriority w:val="9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363">
    <w:name w:val="Heading 4"/>
    <w:basedOn w:val="4359"/>
    <w:next w:val="4359"/>
    <w:link w:val="4418"/>
    <w:uiPriority w:val="9"/>
    <w:qFormat/>
    <w:pPr>
      <w:keepNext/>
      <w:tabs>
        <w:tab w:val="left" w:pos="885" w:leader="none"/>
      </w:tabs>
      <w:outlineLvl w:val="3"/>
    </w:pPr>
    <w:rPr>
      <w:rFonts w:ascii="Calibri" w:hAnsi="Calibri"/>
      <w:b/>
      <w:bCs/>
      <w:sz w:val="28"/>
      <w:szCs w:val="28"/>
    </w:rPr>
  </w:style>
  <w:style w:type="paragraph" w:styleId="4364">
    <w:name w:val="Heading 5"/>
    <w:basedOn w:val="4359"/>
    <w:next w:val="4359"/>
    <w:link w:val="4419"/>
    <w:uiPriority w:val="9"/>
    <w:qFormat/>
    <w:pPr>
      <w:jc w:val="center"/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4365">
    <w:name w:val="Heading 6"/>
    <w:basedOn w:val="4359"/>
    <w:next w:val="4359"/>
    <w:link w:val="4420"/>
    <w:uiPriority w:val="9"/>
    <w:qFormat/>
    <w:pPr>
      <w:ind w:firstLine="709"/>
      <w:jc w:val="both"/>
      <w:keepNext/>
      <w:outlineLvl w:val="5"/>
    </w:pPr>
    <w:rPr>
      <w:rFonts w:ascii="Calibri" w:hAnsi="Calibri"/>
      <w:b/>
      <w:bCs/>
      <w:sz w:val="20"/>
      <w:szCs w:val="20"/>
    </w:rPr>
  </w:style>
  <w:style w:type="paragraph" w:styleId="4366">
    <w:name w:val="Heading 7"/>
    <w:basedOn w:val="4359"/>
    <w:next w:val="4359"/>
    <w:link w:val="4421"/>
    <w:uiPriority w:val="9"/>
    <w:qFormat/>
    <w:pPr>
      <w:ind w:right="-108"/>
      <w:jc w:val="center"/>
      <w:keepNext/>
      <w:outlineLvl w:val="6"/>
    </w:pPr>
    <w:rPr>
      <w:rFonts w:ascii="Calibri" w:hAnsi="Calibri"/>
    </w:rPr>
  </w:style>
  <w:style w:type="paragraph" w:styleId="4367">
    <w:name w:val="Heading 8"/>
    <w:basedOn w:val="4359"/>
    <w:next w:val="4359"/>
    <w:link w:val="4422"/>
    <w:qFormat/>
    <w:pPr>
      <w:jc w:val="center"/>
      <w:keepNext/>
      <w:outlineLvl w:val="7"/>
    </w:pPr>
    <w:rPr>
      <w:rFonts w:ascii="Calibri" w:hAnsi="Calibri"/>
      <w:i/>
      <w:iCs/>
    </w:rPr>
  </w:style>
  <w:style w:type="paragraph" w:styleId="4368">
    <w:name w:val="Heading 9"/>
    <w:basedOn w:val="4359"/>
    <w:next w:val="4359"/>
    <w:link w:val="4423"/>
    <w:uiPriority w:val="9"/>
    <w:qFormat/>
    <w:pPr>
      <w:ind w:firstLine="709"/>
      <w:jc w:val="center"/>
      <w:keepNext/>
      <w:widowControl w:val="off"/>
      <w:outlineLvl w:val="8"/>
    </w:pPr>
    <w:rPr>
      <w:rFonts w:ascii="Cambria" w:hAnsi="Cambria"/>
      <w:sz w:val="20"/>
      <w:szCs w:val="20"/>
    </w:rPr>
  </w:style>
  <w:style w:type="character" w:styleId="4369" w:default="1">
    <w:name w:val="Default Paragraph Font"/>
    <w:uiPriority w:val="1"/>
    <w:unhideWhenUsed/>
  </w:style>
  <w:style w:type="table" w:styleId="43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371" w:default="1">
    <w:name w:val="No List"/>
    <w:uiPriority w:val="99"/>
    <w:semiHidden/>
    <w:unhideWhenUsed/>
  </w:style>
  <w:style w:type="paragraph" w:styleId="4372">
    <w:name w:val="Title"/>
    <w:basedOn w:val="4359"/>
    <w:link w:val="4373"/>
    <w:uiPriority w:val="10"/>
    <w:qFormat/>
    <w:pPr>
      <w:jc w:val="center"/>
    </w:pPr>
    <w:rPr>
      <w:b/>
      <w:bCs/>
      <w:sz w:val="28"/>
      <w:szCs w:val="28"/>
    </w:rPr>
  </w:style>
  <w:style w:type="character" w:styleId="4373" w:customStyle="1">
    <w:name w:val="Заголовок Знак"/>
    <w:basedOn w:val="4369"/>
    <w:link w:val="4372"/>
    <w:uiPriority w:val="1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4374">
    <w:name w:val="List"/>
    <w:basedOn w:val="4359"/>
    <w:pPr>
      <w:ind w:left="283" w:hanging="283"/>
      <w:widowControl w:val="off"/>
    </w:pPr>
    <w:rPr>
      <w:sz w:val="20"/>
      <w:szCs w:val="20"/>
    </w:rPr>
  </w:style>
  <w:style w:type="paragraph" w:styleId="4375">
    <w:name w:val="Balloon Text"/>
    <w:basedOn w:val="4359"/>
    <w:link w:val="4376"/>
    <w:uiPriority w:val="99"/>
    <w:semiHidden/>
    <w:unhideWhenUsed/>
    <w:rPr>
      <w:rFonts w:ascii="Tahoma" w:hAnsi="Tahoma" w:cs="Tahoma"/>
      <w:sz w:val="16"/>
      <w:szCs w:val="16"/>
    </w:rPr>
  </w:style>
  <w:style w:type="character" w:styleId="4376" w:customStyle="1">
    <w:name w:val="Текст выноски Знак"/>
    <w:basedOn w:val="4369"/>
    <w:link w:val="437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4377" w:customStyle="1">
    <w:name w:val="ConsPlusNormal"/>
    <w:link w:val="4417"/>
    <w:qFormat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4378">
    <w:name w:val="Normal (Web)"/>
    <w:basedOn w:val="4359"/>
    <w:link w:val="4532"/>
    <w:uiPriority w:val="99"/>
    <w:qFormat/>
    <w:pPr>
      <w:spacing w:before="100" w:beforeAutospacing="1" w:after="100" w:afterAutospacing="1"/>
    </w:pPr>
  </w:style>
  <w:style w:type="paragraph" w:styleId="4379">
    <w:name w:val="footnote text"/>
    <w:basedOn w:val="4359"/>
    <w:link w:val="4380"/>
    <w:uiPriority w:val="99"/>
    <w:qFormat/>
    <w:rPr>
      <w:sz w:val="20"/>
      <w:szCs w:val="20"/>
    </w:rPr>
  </w:style>
  <w:style w:type="character" w:styleId="4380" w:customStyle="1">
    <w:name w:val="Текст сноски Знак"/>
    <w:basedOn w:val="4369"/>
    <w:link w:val="4379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4381">
    <w:name w:val="footnote reference"/>
    <w:link w:val="4595"/>
    <w:uiPriority w:val="99"/>
    <w:qFormat/>
    <w:rPr>
      <w:vertAlign w:val="superscript"/>
    </w:rPr>
  </w:style>
  <w:style w:type="paragraph" w:styleId="4382" w:customStyle="1">
    <w:name w:val="Таблицы (моноширинный)"/>
    <w:basedOn w:val="4359"/>
    <w:next w:val="4359"/>
    <w:uiPriority w:val="99"/>
    <w:pPr>
      <w:jc w:val="both"/>
      <w:widowControl w:val="off"/>
    </w:pPr>
    <w:rPr>
      <w:rFonts w:ascii="Courier New" w:hAnsi="Courier New" w:cs="Courier New"/>
    </w:rPr>
  </w:style>
  <w:style w:type="character" w:styleId="4383" w:customStyle="1">
    <w:name w:val="Цветовое выделение"/>
    <w:uiPriority w:val="99"/>
    <w:rPr>
      <w:b/>
      <w:bCs/>
      <w:color w:val="000080"/>
    </w:rPr>
  </w:style>
  <w:style w:type="paragraph" w:styleId="4384" w:customStyle="1">
    <w:name w:val="Основной текст1"/>
    <w:basedOn w:val="4359"/>
    <w:link w:val="4385"/>
    <w:pPr>
      <w:jc w:val="both"/>
    </w:pPr>
    <w:rPr>
      <w:sz w:val="28"/>
      <w:szCs w:val="20"/>
    </w:rPr>
  </w:style>
  <w:style w:type="character" w:styleId="4385" w:customStyle="1">
    <w:name w:val="Основной текст_"/>
    <w:basedOn w:val="4369"/>
    <w:link w:val="4384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4386">
    <w:name w:val="List Paragraph"/>
    <w:basedOn w:val="4359"/>
    <w:link w:val="4443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4387">
    <w:name w:val="Header"/>
    <w:basedOn w:val="4359"/>
    <w:link w:val="438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4388" w:customStyle="1">
    <w:name w:val="Верхний колонтитул Знак"/>
    <w:basedOn w:val="4369"/>
    <w:link w:val="438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389">
    <w:name w:val="Footer"/>
    <w:basedOn w:val="4359"/>
    <w:link w:val="43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4390" w:customStyle="1">
    <w:name w:val="Нижний колонтитул Знак"/>
    <w:basedOn w:val="4369"/>
    <w:link w:val="438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4391">
    <w:name w:val="Table Grid"/>
    <w:basedOn w:val="43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392" w:customStyle="1">
    <w:name w:val="Заголовок 1 Знак"/>
    <w:basedOn w:val="4369"/>
    <w:link w:val="4360"/>
    <w:rPr>
      <w:rFonts w:ascii="Arial" w:hAnsi="Arial" w:cs="Arial"/>
      <w:b/>
      <w:bCs/>
      <w:color w:val="26282f"/>
      <w:sz w:val="24"/>
      <w:szCs w:val="24"/>
    </w:rPr>
  </w:style>
  <w:style w:type="character" w:styleId="4393" w:customStyle="1">
    <w:name w:val="Гипертекстовая ссылка"/>
    <w:basedOn w:val="4383"/>
    <w:uiPriority w:val="99"/>
    <w:rPr>
      <w:b/>
      <w:bCs/>
      <w:color w:val="106bbe"/>
    </w:rPr>
  </w:style>
  <w:style w:type="character" w:styleId="4394">
    <w:name w:val="Hyperlink"/>
    <w:basedOn w:val="4369"/>
    <w:uiPriority w:val="99"/>
    <w:unhideWhenUsed/>
    <w:rPr>
      <w:color w:val="0000ff" w:themeColor="hyperlink"/>
      <w:u w:val="single"/>
    </w:rPr>
  </w:style>
  <w:style w:type="character" w:styleId="4395" w:customStyle="1">
    <w:name w:val="Заголовок 2 Знак"/>
    <w:basedOn w:val="4369"/>
    <w:link w:val="4361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4396" w:customStyle="1">
    <w:name w:val="Заголовок 3 Знак"/>
    <w:basedOn w:val="4369"/>
    <w:link w:val="4362"/>
    <w:uiPriority w:val="9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paragraph" w:styleId="4397" w:customStyle="1">
    <w:name w:val="formula"/>
    <w:basedOn w:val="4359"/>
    <w:pPr>
      <w:spacing w:before="100" w:beforeAutospacing="1" w:after="100" w:afterAutospacing="1"/>
    </w:pPr>
  </w:style>
  <w:style w:type="paragraph" w:styleId="4398" w:customStyle="1">
    <w:name w:val="Oaeno"/>
    <w:basedOn w:val="4359"/>
    <w:pPr>
      <w:widowControl w:val="off"/>
    </w:pPr>
    <w:rPr>
      <w:rFonts w:ascii="Courier New" w:hAnsi="Courier New"/>
      <w:sz w:val="20"/>
      <w:szCs w:val="20"/>
    </w:rPr>
  </w:style>
  <w:style w:type="paragraph" w:styleId="4399" w:customStyle="1">
    <w:name w:val="Style2"/>
    <w:basedOn w:val="4359"/>
    <w:uiPriority w:val="99"/>
    <w:pPr>
      <w:ind w:firstLine="696"/>
      <w:jc w:val="both"/>
      <w:spacing w:line="322" w:lineRule="exact"/>
      <w:widowControl w:val="off"/>
    </w:pPr>
  </w:style>
  <w:style w:type="character" w:styleId="4400" w:customStyle="1">
    <w:name w:val="Font Style31"/>
    <w:basedOn w:val="4369"/>
    <w:uiPriority w:val="99"/>
    <w:rPr>
      <w:rFonts w:hint="default" w:ascii="Times New Roman" w:hAnsi="Times New Roman" w:cs="Times New Roman"/>
      <w:sz w:val="26"/>
      <w:szCs w:val="26"/>
    </w:rPr>
  </w:style>
  <w:style w:type="character" w:styleId="4401" w:customStyle="1">
    <w:name w:val="Font Style39"/>
    <w:basedOn w:val="4369"/>
    <w:uiPriority w:val="99"/>
    <w:rPr>
      <w:rFonts w:hint="default" w:ascii="Times New Roman" w:hAnsi="Times New Roman" w:cs="Times New Roman"/>
      <w:sz w:val="26"/>
      <w:szCs w:val="26"/>
    </w:rPr>
  </w:style>
  <w:style w:type="paragraph" w:styleId="4402" w:customStyle="1">
    <w:name w:val="Style15"/>
    <w:basedOn w:val="4359"/>
    <w:uiPriority w:val="99"/>
    <w:pPr>
      <w:jc w:val="right"/>
      <w:widowControl w:val="off"/>
    </w:pPr>
  </w:style>
  <w:style w:type="paragraph" w:styleId="4403" w:customStyle="1">
    <w:name w:val="ConsPlusTitle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4404">
    <w:name w:val="Body Text Indent 2"/>
    <w:basedOn w:val="4359"/>
    <w:link w:val="4405"/>
    <w:unhideWhenUsed/>
    <w:pPr>
      <w:ind w:firstLine="851"/>
      <w:jc w:val="both"/>
    </w:pPr>
    <w:rPr>
      <w:sz w:val="22"/>
      <w:szCs w:val="20"/>
    </w:rPr>
  </w:style>
  <w:style w:type="character" w:styleId="4405" w:customStyle="1">
    <w:name w:val="Основной текст с отступом 2 Знак"/>
    <w:basedOn w:val="4369"/>
    <w:link w:val="4404"/>
    <w:rPr>
      <w:rFonts w:ascii="Times New Roman" w:hAnsi="Times New Roman" w:eastAsia="Times New Roman" w:cs="Times New Roman"/>
      <w:szCs w:val="20"/>
      <w:lang w:eastAsia="ru-RU"/>
    </w:rPr>
  </w:style>
  <w:style w:type="paragraph" w:styleId="4406">
    <w:name w:val="No Spacing"/>
    <w:link w:val="4457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4407" w:customStyle="1">
    <w:name w:val="blk"/>
    <w:basedOn w:val="4369"/>
  </w:style>
  <w:style w:type="character" w:styleId="4408" w:customStyle="1">
    <w:name w:val="date6"/>
    <w:basedOn w:val="4369"/>
  </w:style>
  <w:style w:type="character" w:styleId="4409">
    <w:name w:val="annotation reference"/>
    <w:basedOn w:val="4369"/>
    <w:uiPriority w:val="99"/>
    <w:semiHidden/>
    <w:unhideWhenUsed/>
    <w:rPr>
      <w:sz w:val="16"/>
      <w:szCs w:val="16"/>
    </w:rPr>
  </w:style>
  <w:style w:type="paragraph" w:styleId="4410">
    <w:name w:val="annotation text"/>
    <w:basedOn w:val="4359"/>
    <w:link w:val="4411"/>
    <w:uiPriority w:val="99"/>
    <w:unhideWhenUsed/>
    <w:rPr>
      <w:sz w:val="20"/>
      <w:szCs w:val="20"/>
    </w:rPr>
  </w:style>
  <w:style w:type="character" w:styleId="4411" w:customStyle="1">
    <w:name w:val="Текст примечания Знак"/>
    <w:basedOn w:val="4369"/>
    <w:link w:val="441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4412">
    <w:name w:val="annotation subject"/>
    <w:basedOn w:val="4410"/>
    <w:next w:val="4410"/>
    <w:link w:val="4413"/>
    <w:uiPriority w:val="99"/>
    <w:semiHidden/>
    <w:unhideWhenUsed/>
    <w:rPr>
      <w:b/>
      <w:bCs/>
    </w:rPr>
  </w:style>
  <w:style w:type="character" w:styleId="4413" w:customStyle="1">
    <w:name w:val="Тема примечания Знак"/>
    <w:basedOn w:val="4411"/>
    <w:link w:val="4412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4414" w:customStyle="1">
    <w:name w:val="ConsPlusCell"/>
    <w:pPr>
      <w:spacing w:after="0" w:line="240" w:lineRule="auto"/>
    </w:pPr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4415" w:customStyle="1">
    <w:name w:val="ConsPlusNonformat"/>
    <w:link w:val="4520"/>
    <w:uiPriority w:val="99"/>
    <w:qFormat/>
    <w:pPr>
      <w:spacing w:after="0" w:line="240" w:lineRule="auto"/>
    </w:pPr>
    <w:rPr>
      <w:rFonts w:ascii="Courier New" w:hAnsi="Courier New" w:cs="Courier New" w:eastAsiaTheme="minorEastAsia"/>
      <w:sz w:val="20"/>
      <w:szCs w:val="20"/>
      <w:lang w:eastAsia="ru-RU"/>
    </w:rPr>
  </w:style>
  <w:style w:type="character" w:styleId="4416" w:customStyle="1">
    <w:name w:val="Font Style15"/>
    <w:uiPriority w:val="99"/>
    <w:rPr>
      <w:rFonts w:ascii="Times New Roman" w:hAnsi="Times New Roman" w:cs="Times New Roman"/>
      <w:sz w:val="22"/>
      <w:szCs w:val="22"/>
    </w:rPr>
  </w:style>
  <w:style w:type="character" w:styleId="4417" w:customStyle="1">
    <w:name w:val="ConsPlusNormal Знак"/>
    <w:basedOn w:val="4369"/>
    <w:link w:val="4377"/>
    <w:rPr>
      <w:rFonts w:ascii="Arial" w:hAnsi="Arial" w:eastAsia="Times New Roman" w:cs="Arial"/>
      <w:sz w:val="20"/>
      <w:szCs w:val="20"/>
      <w:lang w:eastAsia="ru-RU"/>
    </w:rPr>
  </w:style>
  <w:style w:type="character" w:styleId="4418" w:customStyle="1">
    <w:name w:val="Заголовок 4 Знак"/>
    <w:basedOn w:val="4369"/>
    <w:link w:val="4363"/>
    <w:uiPriority w:val="9"/>
    <w:rPr>
      <w:rFonts w:ascii="Calibri" w:hAnsi="Calibri" w:eastAsia="Times New Roman" w:cs="Times New Roman"/>
      <w:b/>
      <w:bCs/>
      <w:sz w:val="28"/>
      <w:szCs w:val="28"/>
    </w:rPr>
  </w:style>
  <w:style w:type="character" w:styleId="4419" w:customStyle="1">
    <w:name w:val="Заголовок 5 Знак"/>
    <w:basedOn w:val="4369"/>
    <w:link w:val="4364"/>
    <w:uiPriority w:val="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4420" w:customStyle="1">
    <w:name w:val="Заголовок 6 Знак"/>
    <w:basedOn w:val="4369"/>
    <w:link w:val="4365"/>
    <w:uiPriority w:val="9"/>
    <w:rPr>
      <w:rFonts w:ascii="Calibri" w:hAnsi="Calibri" w:eastAsia="Times New Roman" w:cs="Times New Roman"/>
      <w:b/>
      <w:bCs/>
      <w:sz w:val="20"/>
      <w:szCs w:val="20"/>
    </w:rPr>
  </w:style>
  <w:style w:type="character" w:styleId="4421" w:customStyle="1">
    <w:name w:val="Заголовок 7 Знак"/>
    <w:basedOn w:val="4369"/>
    <w:link w:val="4366"/>
    <w:uiPriority w:val="9"/>
    <w:rPr>
      <w:rFonts w:ascii="Calibri" w:hAnsi="Calibri" w:eastAsia="Times New Roman" w:cs="Times New Roman"/>
      <w:sz w:val="24"/>
      <w:szCs w:val="24"/>
    </w:rPr>
  </w:style>
  <w:style w:type="character" w:styleId="4422" w:customStyle="1">
    <w:name w:val="Заголовок 8 Знак"/>
    <w:basedOn w:val="4369"/>
    <w:link w:val="4367"/>
    <w:rPr>
      <w:rFonts w:ascii="Calibri" w:hAnsi="Calibri" w:eastAsia="Times New Roman" w:cs="Times New Roman"/>
      <w:i/>
      <w:iCs/>
      <w:sz w:val="24"/>
      <w:szCs w:val="24"/>
    </w:rPr>
  </w:style>
  <w:style w:type="character" w:styleId="4423" w:customStyle="1">
    <w:name w:val="Заголовок 9 Знак"/>
    <w:basedOn w:val="4369"/>
    <w:link w:val="4368"/>
    <w:uiPriority w:val="9"/>
    <w:rPr>
      <w:rFonts w:ascii="Cambria" w:hAnsi="Cambria" w:eastAsia="Times New Roman" w:cs="Times New Roman"/>
      <w:sz w:val="20"/>
      <w:szCs w:val="20"/>
    </w:rPr>
  </w:style>
  <w:style w:type="character" w:styleId="4424" w:customStyle="1">
    <w:name w:val="Заголовок 1 Знак1"/>
    <w:uiPriority w:val="9"/>
    <w:rPr>
      <w:rFonts w:ascii="Cambria" w:hAnsi="Cambria" w:eastAsia="Times New Roman" w:cs="Times New Roman"/>
      <w:b/>
      <w:bCs/>
      <w:sz w:val="32"/>
      <w:szCs w:val="32"/>
    </w:rPr>
  </w:style>
  <w:style w:type="paragraph" w:styleId="4425">
    <w:name w:val="Body Text"/>
    <w:basedOn w:val="4359"/>
    <w:link w:val="4426"/>
    <w:uiPriority w:val="99"/>
    <w:pPr>
      <w:jc w:val="both"/>
    </w:pPr>
  </w:style>
  <w:style w:type="character" w:styleId="4426" w:customStyle="1">
    <w:name w:val="Основной текст Знак"/>
    <w:basedOn w:val="4369"/>
    <w:link w:val="4425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4427">
    <w:name w:val="Body Text Indent"/>
    <w:basedOn w:val="4359"/>
    <w:link w:val="4428"/>
    <w:uiPriority w:val="99"/>
    <w:pPr>
      <w:jc w:val="center"/>
      <w:spacing w:after="120" w:line="480" w:lineRule="auto"/>
    </w:pPr>
  </w:style>
  <w:style w:type="character" w:styleId="4428" w:customStyle="1">
    <w:name w:val="Основной текст с отступом Знак"/>
    <w:basedOn w:val="4369"/>
    <w:link w:val="4427"/>
    <w:uiPriority w:val="99"/>
    <w:rPr>
      <w:rFonts w:ascii="Times New Roman" w:hAnsi="Times New Roman" w:eastAsia="Times New Roman" w:cs="Times New Roman"/>
      <w:sz w:val="24"/>
      <w:szCs w:val="24"/>
    </w:rPr>
  </w:style>
  <w:style w:type="character" w:styleId="4429">
    <w:name w:val="page number"/>
    <w:rPr>
      <w:rFonts w:cs="Times New Roman"/>
    </w:rPr>
  </w:style>
  <w:style w:type="paragraph" w:styleId="4430">
    <w:name w:val="Body Text 2"/>
    <w:basedOn w:val="4359"/>
    <w:link w:val="4431"/>
    <w:uiPriority w:val="99"/>
    <w:pPr>
      <w:jc w:val="center"/>
    </w:pPr>
  </w:style>
  <w:style w:type="character" w:styleId="4431" w:customStyle="1">
    <w:name w:val="Основной текст 2 Знак"/>
    <w:basedOn w:val="4369"/>
    <w:link w:val="4430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4432" w:customStyle="1">
    <w:name w:val="Прижатый влево"/>
    <w:basedOn w:val="4359"/>
    <w:next w:val="4359"/>
    <w:uiPriority w:val="99"/>
    <w:pPr>
      <w:jc w:val="center"/>
    </w:pPr>
    <w:rPr>
      <w:rFonts w:ascii="Arial" w:hAnsi="Arial" w:cs="Arial"/>
      <w:sz w:val="20"/>
      <w:szCs w:val="20"/>
    </w:rPr>
  </w:style>
  <w:style w:type="paragraph" w:styleId="4433" w:customStyle="1">
    <w:name w:val="Обычный1"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4434">
    <w:name w:val="Body Text Indent 3"/>
    <w:basedOn w:val="4359"/>
    <w:link w:val="4435"/>
    <w:uiPriority w:val="99"/>
    <w:pPr>
      <w:ind w:firstLine="709"/>
      <w:jc w:val="both"/>
    </w:pPr>
  </w:style>
  <w:style w:type="character" w:styleId="4435" w:customStyle="1">
    <w:name w:val="Основной текст с отступом 3 Знак"/>
    <w:basedOn w:val="4369"/>
    <w:link w:val="4434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4436">
    <w:name w:val="Body Text 3"/>
    <w:basedOn w:val="4359"/>
    <w:link w:val="4437"/>
    <w:uiPriority w:val="99"/>
    <w:semiHidden/>
    <w:pPr>
      <w:jc w:val="center"/>
    </w:pPr>
    <w:rPr>
      <w:sz w:val="16"/>
      <w:szCs w:val="16"/>
    </w:rPr>
  </w:style>
  <w:style w:type="character" w:styleId="4437" w:customStyle="1">
    <w:name w:val="Основной текст 3 Знак"/>
    <w:basedOn w:val="4369"/>
    <w:link w:val="4436"/>
    <w:uiPriority w:val="99"/>
    <w:semiHidden/>
    <w:rPr>
      <w:rFonts w:ascii="Times New Roman" w:hAnsi="Times New Roman" w:eastAsia="Times New Roman" w:cs="Times New Roman"/>
      <w:sz w:val="16"/>
      <w:szCs w:val="16"/>
    </w:rPr>
  </w:style>
  <w:style w:type="paragraph" w:styleId="4438" w:customStyle="1">
    <w:name w:val="Комментарий"/>
    <w:basedOn w:val="4359"/>
    <w:next w:val="4359"/>
    <w:uiPriority w:val="99"/>
    <w:pPr>
      <w:ind w:left="170"/>
      <w:jc w:val="both"/>
      <w:widowControl w:val="off"/>
    </w:pPr>
    <w:rPr>
      <w:rFonts w:ascii="Arial" w:hAnsi="Arial" w:cs="Arial"/>
      <w:i/>
      <w:iCs/>
      <w:color w:val="800080"/>
      <w:sz w:val="20"/>
      <w:szCs w:val="20"/>
    </w:rPr>
  </w:style>
  <w:style w:type="character" w:styleId="4439">
    <w:name w:val="Strong"/>
    <w:uiPriority w:val="22"/>
    <w:qFormat/>
    <w:rPr>
      <w:rFonts w:cs="Times New Roman"/>
      <w:b/>
      <w:bCs/>
    </w:rPr>
  </w:style>
  <w:style w:type="character" w:styleId="4440" w:customStyle="1">
    <w:name w:val="style41"/>
    <w:uiPriority w:val="99"/>
    <w:rPr>
      <w:rFonts w:cs="Times New Roman"/>
      <w:sz w:val="27"/>
      <w:szCs w:val="27"/>
    </w:rPr>
  </w:style>
  <w:style w:type="character" w:styleId="4441" w:customStyle="1">
    <w:name w:val="textspanview"/>
    <w:uiPriority w:val="99"/>
  </w:style>
  <w:style w:type="paragraph" w:styleId="4442" w:customStyle="1">
    <w:name w:val="Нормальный (таблица)"/>
    <w:basedOn w:val="4359"/>
    <w:next w:val="4359"/>
    <w:uiPriority w:val="99"/>
    <w:pPr>
      <w:jc w:val="both"/>
      <w:widowControl w:val="off"/>
    </w:pPr>
    <w:rPr>
      <w:rFonts w:ascii="Arial" w:hAnsi="Arial" w:cs="Arial"/>
    </w:rPr>
  </w:style>
  <w:style w:type="character" w:styleId="4443" w:customStyle="1">
    <w:name w:val="Абзац списка Знак"/>
    <w:link w:val="4386"/>
    <w:uiPriority w:val="34"/>
    <w:qFormat/>
    <w:rPr>
      <w:rFonts w:eastAsiaTheme="minorEastAsia"/>
      <w:lang w:eastAsia="ru-RU"/>
    </w:rPr>
  </w:style>
  <w:style w:type="paragraph" w:styleId="4444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4445">
    <w:name w:val="HTML Preformatted"/>
    <w:basedOn w:val="4359"/>
    <w:link w:val="4446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4446" w:customStyle="1">
    <w:name w:val="Стандартный HTML Знак"/>
    <w:basedOn w:val="4369"/>
    <w:link w:val="4445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4447" w:customStyle="1">
    <w:name w:val="Заголовок 11"/>
    <w:basedOn w:val="4359"/>
    <w:next w:val="4359"/>
    <w:uiPriority w:val="99"/>
    <w:qFormat/>
    <w:pPr>
      <w:jc w:val="center"/>
      <w:spacing w:before="108" w:after="108"/>
      <w:outlineLvl w:val="0"/>
    </w:pPr>
    <w:rPr>
      <w:rFonts w:ascii="Arial" w:hAnsi="Arial" w:cs="Arial" w:eastAsiaTheme="minorHAnsi"/>
      <w:b/>
      <w:bCs/>
      <w:color w:val="26282f"/>
      <w:lang w:eastAsia="en-US"/>
    </w:rPr>
  </w:style>
  <w:style w:type="numbering" w:styleId="4448" w:customStyle="1">
    <w:name w:val="Нет списка1"/>
    <w:next w:val="4371"/>
    <w:uiPriority w:val="99"/>
    <w:semiHidden/>
    <w:unhideWhenUsed/>
  </w:style>
  <w:style w:type="paragraph" w:styleId="4449" w:customStyle="1">
    <w:name w:val="Заголовок статьи"/>
    <w:basedOn w:val="4359"/>
    <w:next w:val="4359"/>
    <w:uiPriority w:val="99"/>
    <w:pPr>
      <w:ind w:left="1612" w:hanging="892"/>
      <w:jc w:val="both"/>
    </w:pPr>
    <w:rPr>
      <w:rFonts w:ascii="Arial" w:hAnsi="Arial" w:cs="Arial" w:eastAsiaTheme="minorHAnsi"/>
      <w:lang w:eastAsia="en-US"/>
    </w:rPr>
  </w:style>
  <w:style w:type="character" w:styleId="4450" w:customStyle="1">
    <w:name w:val="Гиперссылка1"/>
    <w:basedOn w:val="4369"/>
    <w:uiPriority w:val="99"/>
    <w:unhideWhenUsed/>
    <w:rPr>
      <w:color w:val="0000ff"/>
      <w:u w:val="single"/>
    </w:rPr>
  </w:style>
  <w:style w:type="paragraph" w:styleId="4451" w:customStyle="1">
    <w:name w:val="Булеты1"/>
    <w:basedOn w:val="4359"/>
    <w:uiPriority w:val="99"/>
    <w:pPr>
      <w:contextualSpacing/>
      <w:jc w:val="both"/>
      <w:spacing w:after="200" w:line="276" w:lineRule="auto"/>
      <w:tabs>
        <w:tab w:val="left" w:pos="2977" w:leader="none"/>
      </w:tabs>
    </w:pPr>
    <w:rPr>
      <w:sz w:val="22"/>
      <w:szCs w:val="22"/>
    </w:rPr>
  </w:style>
  <w:style w:type="character" w:styleId="4452">
    <w:name w:val="FollowedHyperlink"/>
    <w:basedOn w:val="4369"/>
    <w:uiPriority w:val="99"/>
    <w:semiHidden/>
    <w:unhideWhenUsed/>
    <w:rPr>
      <w:color w:val="800080" w:themeColor="followedHyperlink"/>
      <w:u w:val="single"/>
    </w:rPr>
  </w:style>
  <w:style w:type="paragraph" w:styleId="4453" w:customStyle="1">
    <w:name w:val="Основной текст5"/>
    <w:basedOn w:val="4359"/>
    <w:pPr>
      <w:spacing w:after="120" w:line="0" w:lineRule="atLeast"/>
      <w:shd w:val="clear" w:color="auto" w:fill="ffffff"/>
    </w:pPr>
    <w:rPr>
      <w:color w:val="000000"/>
      <w:sz w:val="27"/>
      <w:szCs w:val="27"/>
    </w:rPr>
  </w:style>
  <w:style w:type="paragraph" w:styleId="4454">
    <w:name w:val="Revision"/>
    <w:hidden/>
    <w:uiPriority w:val="99"/>
    <w:semiHidden/>
    <w:pPr>
      <w:spacing w:after="0" w:line="240" w:lineRule="auto"/>
    </w:pPr>
  </w:style>
  <w:style w:type="paragraph" w:styleId="4455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MS Mincho" w:cs="Arial"/>
      <w:sz w:val="20"/>
      <w:szCs w:val="20"/>
      <w:lang w:eastAsia="ja-JP"/>
    </w:rPr>
  </w:style>
  <w:style w:type="character" w:styleId="4456">
    <w:name w:val="Emphasis"/>
    <w:basedOn w:val="4369"/>
    <w:uiPriority w:val="20"/>
    <w:qFormat/>
    <w:rPr>
      <w:i/>
      <w:iCs/>
    </w:rPr>
  </w:style>
  <w:style w:type="character" w:styleId="4457" w:customStyle="1">
    <w:name w:val="Без интервала Знак"/>
    <w:link w:val="4406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458" w:customStyle="1">
    <w:name w:val="Основной текст3"/>
    <w:basedOn w:val="4359"/>
    <w:pPr>
      <w:ind w:hanging="360"/>
      <w:jc w:val="center"/>
      <w:spacing w:line="312" w:lineRule="exact"/>
      <w:shd w:val="clear" w:color="auto" w:fill="ffffff"/>
      <w:widowControl w:val="off"/>
    </w:pPr>
    <w:rPr>
      <w:sz w:val="23"/>
      <w:szCs w:val="23"/>
      <w:lang w:eastAsia="en-US"/>
    </w:rPr>
  </w:style>
  <w:style w:type="paragraph" w:styleId="4459" w:customStyle="1">
    <w:name w:val="Акты"/>
    <w:basedOn w:val="4359"/>
    <w:link w:val="4460"/>
    <w:qFormat/>
    <w:pPr>
      <w:ind w:firstLine="709"/>
      <w:jc w:val="both"/>
    </w:pPr>
    <w:rPr>
      <w:sz w:val="28"/>
      <w:szCs w:val="28"/>
    </w:rPr>
  </w:style>
  <w:style w:type="character" w:styleId="4460" w:customStyle="1">
    <w:name w:val="Акты Знак"/>
    <w:link w:val="445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4461" w:customStyle="1">
    <w:name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4462">
    <w:name w:val="endnote text"/>
    <w:basedOn w:val="4359"/>
    <w:link w:val="4463"/>
    <w:uiPriority w:val="99"/>
    <w:semiHidden/>
    <w:unhideWhenUsed/>
    <w:pPr>
      <w:spacing w:after="200" w:line="276" w:lineRule="auto"/>
    </w:pPr>
    <w:rPr>
      <w:rFonts w:ascii="Calibri" w:hAnsi="Calibri"/>
      <w:sz w:val="20"/>
      <w:szCs w:val="20"/>
    </w:rPr>
  </w:style>
  <w:style w:type="character" w:styleId="4463" w:customStyle="1">
    <w:name w:val="Текст концевой сноски Знак"/>
    <w:basedOn w:val="4369"/>
    <w:link w:val="4462"/>
    <w:uiPriority w:val="99"/>
    <w:semiHidden/>
    <w:rPr>
      <w:rFonts w:ascii="Calibri" w:hAnsi="Calibri" w:eastAsia="Times New Roman" w:cs="Times New Roman"/>
      <w:sz w:val="20"/>
      <w:szCs w:val="20"/>
      <w:lang w:eastAsia="ru-RU"/>
    </w:rPr>
  </w:style>
  <w:style w:type="character" w:styleId="4464">
    <w:name w:val="endnote reference"/>
    <w:basedOn w:val="4369"/>
    <w:uiPriority w:val="99"/>
    <w:semiHidden/>
    <w:unhideWhenUsed/>
    <w:rPr>
      <w:vertAlign w:val="superscript"/>
    </w:rPr>
  </w:style>
  <w:style w:type="paragraph" w:styleId="4465">
    <w:name w:val="HTML Top of Form"/>
    <w:basedOn w:val="4359"/>
    <w:next w:val="4359"/>
    <w:link w:val="4466"/>
    <w:hidden/>
    <w:uiPriority w:val="99"/>
    <w:semiHidden/>
    <w:unhideWhenUsed/>
    <w:pPr>
      <w:jc w:val="center"/>
      <w:pBdr>
        <w:bottom w:val="single" w:color="000000" w:sz="6" w:space="1"/>
      </w:pBdr>
    </w:pPr>
    <w:rPr>
      <w:rFonts w:ascii="Arial" w:hAnsi="Arial" w:cs="Arial"/>
      <w:vanish/>
      <w:sz w:val="16"/>
      <w:szCs w:val="16"/>
    </w:rPr>
  </w:style>
  <w:style w:type="character" w:styleId="4466" w:customStyle="1">
    <w:name w:val="z-Начало формы Знак"/>
    <w:basedOn w:val="4369"/>
    <w:link w:val="4465"/>
    <w:uiPriority w:val="99"/>
    <w:semiHidden/>
    <w:rPr>
      <w:rFonts w:ascii="Arial" w:hAnsi="Arial" w:eastAsia="Times New Roman" w:cs="Arial"/>
      <w:vanish/>
      <w:sz w:val="16"/>
      <w:szCs w:val="16"/>
      <w:lang w:eastAsia="ru-RU"/>
    </w:rPr>
  </w:style>
  <w:style w:type="character" w:styleId="4467" w:customStyle="1">
    <w:name w:val="hlnormal"/>
    <w:basedOn w:val="4369"/>
  </w:style>
  <w:style w:type="paragraph" w:styleId="4468">
    <w:name w:val="HTML Bottom of Form"/>
    <w:basedOn w:val="4359"/>
    <w:next w:val="4359"/>
    <w:link w:val="4469"/>
    <w:hidden/>
    <w:uiPriority w:val="99"/>
    <w:unhideWhenUsed/>
    <w:pPr>
      <w:jc w:val="center"/>
      <w:pBdr>
        <w:top w:val="single" w:color="000000" w:sz="6" w:space="1"/>
      </w:pBdr>
    </w:pPr>
    <w:rPr>
      <w:rFonts w:ascii="Arial" w:hAnsi="Arial" w:cs="Arial"/>
      <w:vanish/>
      <w:sz w:val="16"/>
      <w:szCs w:val="16"/>
    </w:rPr>
  </w:style>
  <w:style w:type="character" w:styleId="4469" w:customStyle="1">
    <w:name w:val="z-Конец формы Знак"/>
    <w:basedOn w:val="4369"/>
    <w:link w:val="4468"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4470" w:customStyle="1">
    <w:name w:val="hl2"/>
    <w:basedOn w:val="4369"/>
  </w:style>
  <w:style w:type="character" w:styleId="4471" w:customStyle="1">
    <w:name w:val="hlcopyright"/>
    <w:basedOn w:val="4369"/>
  </w:style>
  <w:style w:type="character" w:styleId="4472" w:customStyle="1">
    <w:name w:val="hl4"/>
    <w:basedOn w:val="4369"/>
  </w:style>
  <w:style w:type="paragraph" w:styleId="4473" w:customStyle="1">
    <w:name w:val="pc"/>
    <w:basedOn w:val="4359"/>
    <w:pPr>
      <w:spacing w:before="100" w:beforeAutospacing="1" w:after="100" w:afterAutospacing="1"/>
    </w:pPr>
  </w:style>
  <w:style w:type="character" w:styleId="4474" w:customStyle="1">
    <w:name w:val="Заголовок 3 Знак1"/>
    <w:rPr>
      <w:color w:val="000000"/>
      <w:sz w:val="24"/>
      <w:szCs w:val="26"/>
      <w:lang w:val="ru-RU" w:eastAsia="ru-RU" w:bidi="ar-SA"/>
    </w:rPr>
  </w:style>
  <w:style w:type="paragraph" w:styleId="4475" w:customStyle="1">
    <w:name w:val="Документ"/>
    <w:basedOn w:val="4359"/>
    <w:link w:val="4476"/>
    <w:pPr>
      <w:ind w:firstLine="709"/>
      <w:jc w:val="both"/>
      <w:spacing w:line="360" w:lineRule="auto"/>
    </w:pPr>
    <w:rPr>
      <w:rFonts w:eastAsia="Calibri"/>
      <w:sz w:val="28"/>
      <w:szCs w:val="20"/>
    </w:rPr>
  </w:style>
  <w:style w:type="character" w:styleId="4476" w:customStyle="1">
    <w:name w:val="Документ Знак"/>
    <w:link w:val="4475"/>
    <w:rPr>
      <w:rFonts w:ascii="Times New Roman" w:hAnsi="Times New Roman" w:eastAsia="Calibri" w:cs="Times New Roman"/>
      <w:sz w:val="28"/>
      <w:szCs w:val="20"/>
      <w:lang w:eastAsia="ru-RU"/>
    </w:rPr>
  </w:style>
  <w:style w:type="character" w:styleId="4477" w:customStyle="1">
    <w:name w:val="Схема документа Знак"/>
    <w:basedOn w:val="4369"/>
    <w:link w:val="4478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4478">
    <w:name w:val="Document Map"/>
    <w:basedOn w:val="4359"/>
    <w:link w:val="4477"/>
    <w:uiPriority w:val="99"/>
    <w:semiHidden/>
    <w:unhideWhenUsed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styleId="4479" w:customStyle="1">
    <w:name w:val="Схема документа Знак1"/>
    <w:basedOn w:val="436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4480" w:customStyle="1">
    <w:name w:val="rtejustify"/>
    <w:basedOn w:val="4359"/>
    <w:pPr>
      <w:spacing w:before="100" w:beforeAutospacing="1" w:after="100" w:afterAutospacing="1"/>
    </w:pPr>
  </w:style>
  <w:style w:type="paragraph" w:styleId="4481" w:customStyle="1">
    <w:name w:val="Стиль1"/>
    <w:basedOn w:val="4359"/>
    <w:uiPriority w:val="99"/>
    <w:qFormat/>
    <w:pPr>
      <w:ind w:firstLine="567"/>
      <w:jc w:val="both"/>
    </w:pPr>
    <w:rPr>
      <w:rFonts w:eastAsiaTheme="minorHAnsi"/>
      <w:color w:val="000000" w:themeColor="text1"/>
      <w:sz w:val="28"/>
      <w:szCs w:val="28"/>
      <w:lang w:eastAsia="en-US"/>
    </w:rPr>
  </w:style>
  <w:style w:type="paragraph" w:styleId="4482" w:customStyle="1">
    <w:name w:val="Стиль4"/>
    <w:basedOn w:val="4359"/>
    <w:qFormat/>
    <w:pPr>
      <w:ind w:right="-2" w:firstLine="709"/>
      <w:jc w:val="both"/>
    </w:pPr>
    <w:rPr>
      <w:rFonts w:eastAsiaTheme="minorHAnsi"/>
      <w:color w:val="ff0000"/>
      <w:sz w:val="28"/>
      <w:szCs w:val="28"/>
      <w:lang w:eastAsia="en-US"/>
    </w:rPr>
  </w:style>
  <w:style w:type="character" w:styleId="4483" w:customStyle="1">
    <w:name w:val="Основной текст Знак1"/>
    <w:basedOn w:val="4369"/>
    <w:uiPriority w:val="99"/>
  </w:style>
  <w:style w:type="paragraph" w:styleId="4484" w:customStyle="1">
    <w:name w:val="s_1"/>
    <w:basedOn w:val="4359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4485" w:customStyle="1">
    <w:name w:val="Pa7"/>
    <w:basedOn w:val="4359"/>
    <w:next w:val="4359"/>
    <w:uiPriority w:val="99"/>
    <w:pPr>
      <w:spacing w:line="221" w:lineRule="atLeast"/>
    </w:pPr>
    <w:rPr>
      <w:rFonts w:ascii="Arial" w:hAnsi="Arial" w:cs="Arial"/>
    </w:rPr>
  </w:style>
  <w:style w:type="paragraph" w:styleId="4486" w:customStyle="1">
    <w:name w:val="Pa4"/>
    <w:basedOn w:val="4359"/>
    <w:next w:val="4359"/>
    <w:uiPriority w:val="99"/>
    <w:pPr>
      <w:spacing w:line="241" w:lineRule="atLeast"/>
    </w:pPr>
    <w:rPr>
      <w:rFonts w:ascii="Arial" w:hAnsi="Arial" w:cs="Arial"/>
    </w:rPr>
  </w:style>
  <w:style w:type="character" w:styleId="4487" w:customStyle="1">
    <w:name w:val="A2"/>
    <w:uiPriority w:val="99"/>
    <w:rPr>
      <w:i/>
      <w:iCs/>
      <w:color w:val="000000"/>
      <w:sz w:val="20"/>
      <w:szCs w:val="20"/>
    </w:rPr>
  </w:style>
  <w:style w:type="paragraph" w:styleId="4488" w:customStyle="1">
    <w:name w:val="Style1"/>
    <w:basedOn w:val="4359"/>
    <w:uiPriority w:val="99"/>
    <w:pPr>
      <w:ind w:firstLine="682"/>
      <w:jc w:val="both"/>
      <w:spacing w:line="409" w:lineRule="exact"/>
      <w:widowControl w:val="off"/>
    </w:pPr>
  </w:style>
  <w:style w:type="paragraph" w:styleId="4489" w:customStyle="1">
    <w:name w:val="адрес"/>
    <w:basedOn w:val="4359"/>
    <w:pPr>
      <w:jc w:val="center"/>
    </w:pPr>
    <w:rPr>
      <w:sz w:val="28"/>
      <w:szCs w:val="28"/>
    </w:rPr>
  </w:style>
  <w:style w:type="paragraph" w:styleId="4490" w:customStyle="1">
    <w:name w:val="уважаемый"/>
    <w:basedOn w:val="4359"/>
    <w:pPr>
      <w:ind w:left="284" w:right="-284"/>
      <w:jc w:val="center"/>
    </w:pPr>
    <w:rPr>
      <w:sz w:val="28"/>
      <w:szCs w:val="28"/>
    </w:rPr>
  </w:style>
  <w:style w:type="character" w:styleId="4491" w:customStyle="1">
    <w:name w:val="address2"/>
    <w:basedOn w:val="4369"/>
  </w:style>
  <w:style w:type="paragraph" w:styleId="4492" w:customStyle="1">
    <w:name w:val="txt-1"/>
    <w:basedOn w:val="4359"/>
    <w:pPr>
      <w:spacing w:before="100" w:beforeAutospacing="1" w:after="100" w:afterAutospacing="1"/>
    </w:pPr>
  </w:style>
  <w:style w:type="paragraph" w:styleId="4493" w:customStyle="1">
    <w:name w:val="pboth1"/>
    <w:basedOn w:val="4359"/>
    <w:pPr>
      <w:jc w:val="both"/>
      <w:spacing w:before="100" w:beforeAutospacing="1" w:after="180" w:line="330" w:lineRule="atLeast"/>
    </w:pPr>
  </w:style>
  <w:style w:type="paragraph" w:styleId="4494" w:customStyle="1">
    <w:name w:val="Style3"/>
    <w:basedOn w:val="4359"/>
    <w:pPr>
      <w:ind w:firstLine="670"/>
      <w:jc w:val="both"/>
      <w:spacing w:line="323" w:lineRule="exact"/>
      <w:widowControl w:val="off"/>
    </w:pPr>
    <w:rPr>
      <w:rFonts w:eastAsiaTheme="minorEastAsia"/>
    </w:rPr>
  </w:style>
  <w:style w:type="character" w:styleId="4495" w:customStyle="1">
    <w:name w:val="Font Style12"/>
    <w:basedOn w:val="4369"/>
    <w:uiPriority w:val="99"/>
    <w:rPr>
      <w:rFonts w:ascii="Times New Roman" w:hAnsi="Times New Roman" w:cs="Times New Roman"/>
      <w:spacing w:val="20"/>
      <w:sz w:val="20"/>
      <w:szCs w:val="20"/>
    </w:rPr>
  </w:style>
  <w:style w:type="character" w:styleId="4496" w:customStyle="1">
    <w:name w:val="Font Style13"/>
    <w:basedOn w:val="4369"/>
    <w:uiPriority w:val="99"/>
    <w:rPr>
      <w:rFonts w:ascii="Times New Roman" w:hAnsi="Times New Roman" w:cs="Times New Roman"/>
      <w:spacing w:val="10"/>
      <w:sz w:val="20"/>
      <w:szCs w:val="20"/>
    </w:rPr>
  </w:style>
  <w:style w:type="character" w:styleId="4497" w:customStyle="1">
    <w:name w:val="Основной текст (3)_"/>
    <w:basedOn w:val="4369"/>
    <w:link w:val="4498"/>
    <w:rPr>
      <w:sz w:val="27"/>
      <w:szCs w:val="27"/>
      <w:shd w:val="clear" w:color="auto" w:fill="ffffff"/>
    </w:rPr>
  </w:style>
  <w:style w:type="paragraph" w:styleId="4498" w:customStyle="1">
    <w:name w:val="Основной текст (3)"/>
    <w:basedOn w:val="4359"/>
    <w:link w:val="4497"/>
    <w:pPr>
      <w:spacing w:line="317" w:lineRule="exact"/>
      <w:shd w:val="clear" w:color="auto" w:fill="ffffff"/>
    </w:pPr>
    <w:rPr>
      <w:rFonts w:asciiTheme="minorHAnsi" w:hAnsiTheme="minorHAnsi" w:eastAsiaTheme="minorHAnsi" w:cstheme="minorBidi"/>
      <w:sz w:val="27"/>
      <w:szCs w:val="27"/>
      <w:lang w:eastAsia="en-US"/>
    </w:rPr>
  </w:style>
  <w:style w:type="paragraph" w:styleId="4499">
    <w:name w:val="Subtitle"/>
    <w:basedOn w:val="4359"/>
    <w:next w:val="4359"/>
    <w:link w:val="4500"/>
    <w:uiPriority w:val="11"/>
    <w:qFormat/>
    <w:pPr>
      <w:numPr>
        <w:ilvl w:val="1"/>
      </w:numPr>
      <w:spacing w:after="200" w:line="276" w:lineRule="auto"/>
    </w:pPr>
    <w:rPr>
      <w:rFonts w:asciiTheme="majorHAnsi" w:hAnsiTheme="majorHAnsi" w:eastAsiaTheme="majorEastAsia" w:cstheme="majorBidi"/>
      <w:i/>
      <w:iCs/>
      <w:color w:val="4f81bd" w:themeColor="accent1"/>
      <w:spacing w:val="15"/>
      <w:lang w:eastAsia="en-US"/>
    </w:rPr>
  </w:style>
  <w:style w:type="character" w:styleId="4500" w:customStyle="1">
    <w:name w:val="Подзаголовок Знак"/>
    <w:basedOn w:val="4369"/>
    <w:link w:val="4499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4501" w:customStyle="1">
    <w:name w:val="000cxspmiddle"/>
    <w:basedOn w:val="4359"/>
    <w:pPr>
      <w:spacing w:before="100" w:beforeAutospacing="1" w:after="100" w:afterAutospacing="1"/>
    </w:pPr>
  </w:style>
  <w:style w:type="paragraph" w:styleId="4502" w:customStyle="1">
    <w:name w:val="Абзац списка1"/>
    <w:basedOn w:val="4359"/>
    <w:link w:val="4509"/>
    <w:pPr>
      <w:ind w:left="720"/>
      <w:jc w:val="both"/>
      <w:spacing w:after="200" w:line="276" w:lineRule="auto"/>
    </w:pPr>
    <w:rPr>
      <w:rFonts w:ascii="Calibri" w:hAnsi="Calibri"/>
      <w:sz w:val="28"/>
      <w:szCs w:val="22"/>
    </w:rPr>
  </w:style>
  <w:style w:type="character" w:styleId="4503" w:customStyle="1">
    <w:name w:val="Нижний колонтитул Знак1"/>
    <w:basedOn w:val="4369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4504" w:customStyle="1">
    <w:name w:val="Текст концевой сноски Знак1"/>
    <w:basedOn w:val="436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4505" w:customStyle="1">
    <w:name w:val="Обычный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4506" w:customStyle="1">
    <w:name w:val="Текст_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4507" w:customStyle="1">
    <w:name w:val="Style5"/>
    <w:basedOn w:val="4359"/>
    <w:pPr>
      <w:ind w:firstLine="720"/>
      <w:jc w:val="both"/>
      <w:spacing w:line="276" w:lineRule="exact"/>
      <w:widowControl w:val="off"/>
    </w:pPr>
    <w:rPr>
      <w:lang w:eastAsia="ar-SA"/>
    </w:rPr>
  </w:style>
  <w:style w:type="paragraph" w:styleId="4508" w:customStyle="1">
    <w:name w:val="Без интервала2"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</w:style>
  <w:style w:type="character" w:styleId="4509" w:customStyle="1">
    <w:name w:val="List Paragraph Char"/>
    <w:link w:val="4502"/>
    <w:rPr>
      <w:rFonts w:ascii="Calibri" w:hAnsi="Calibri" w:eastAsia="Times New Roman" w:cs="Times New Roman"/>
      <w:sz w:val="28"/>
      <w:lang w:eastAsia="ru-RU"/>
    </w:rPr>
  </w:style>
  <w:style w:type="paragraph" w:styleId="4510" w:customStyle="1">
    <w:name w:val="Абзац списка2"/>
    <w:basedOn w:val="4359"/>
    <w:pPr>
      <w:contextualSpacing/>
      <w:ind w:left="720"/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character" w:styleId="4511" w:customStyle="1">
    <w:name w:val="Font Style83"/>
    <w:uiPriority w:val="99"/>
    <w:rPr>
      <w:rFonts w:ascii="Times New Roman" w:hAnsi="Times New Roman" w:cs="Times New Roman"/>
      <w:sz w:val="26"/>
      <w:szCs w:val="26"/>
    </w:rPr>
  </w:style>
  <w:style w:type="paragraph" w:styleId="4512" w:customStyle="1">
    <w:name w:val="Без интервала1"/>
    <w:link w:val="4513"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</w:style>
  <w:style w:type="character" w:styleId="4513" w:customStyle="1">
    <w:name w:val="No Spacing Char"/>
    <w:link w:val="4512"/>
    <w:rPr>
      <w:rFonts w:ascii="Calibri" w:hAnsi="Calibri" w:eastAsia="Calibri" w:cs="Times New Roman"/>
      <w:lang w:val="en-US"/>
    </w:rPr>
  </w:style>
  <w:style w:type="character" w:styleId="4514">
    <w:name w:val="line number"/>
    <w:basedOn w:val="4369"/>
    <w:uiPriority w:val="99"/>
    <w:semiHidden/>
    <w:unhideWhenUsed/>
  </w:style>
  <w:style w:type="paragraph" w:styleId="4515" w:customStyle="1">
    <w:name w:val="Обычный (веб)2"/>
    <w:pPr>
      <w:widowControl w:val="off"/>
    </w:pPr>
    <w:rPr>
      <w:rFonts w:ascii="Calibri" w:hAnsi="Calibri" w:eastAsia="DejaVu Sans" w:cs="font184"/>
      <w:lang w:eastAsia="ar-SA"/>
    </w:rPr>
  </w:style>
  <w:style w:type="character" w:styleId="4516" w:customStyle="1">
    <w:name w:val="Основной текст (10)_"/>
    <w:basedOn w:val="4369"/>
    <w:link w:val="4517"/>
    <w:rPr>
      <w:rFonts w:ascii="Times New Roman" w:hAnsi="Times New Roman" w:eastAsia="Times New Roman" w:cs="Times New Roman"/>
      <w:b/>
      <w:bCs/>
      <w:i/>
      <w:iCs/>
      <w:sz w:val="23"/>
      <w:szCs w:val="23"/>
      <w:shd w:val="clear" w:color="auto" w:fill="ffffff"/>
    </w:rPr>
  </w:style>
  <w:style w:type="paragraph" w:styleId="4517" w:customStyle="1">
    <w:name w:val="Основной текст (10)"/>
    <w:basedOn w:val="4359"/>
    <w:link w:val="4516"/>
    <w:pPr>
      <w:jc w:val="both"/>
      <w:spacing w:before="60" w:line="312" w:lineRule="exact"/>
      <w:shd w:val="clear" w:color="auto" w:fill="ffffff"/>
      <w:widowControl w:val="off"/>
    </w:pPr>
    <w:rPr>
      <w:b/>
      <w:bCs/>
      <w:i/>
      <w:iCs/>
      <w:sz w:val="23"/>
      <w:szCs w:val="23"/>
      <w:lang w:eastAsia="en-US"/>
    </w:rPr>
  </w:style>
  <w:style w:type="paragraph" w:styleId="4518" w:customStyle="1">
    <w:name w:val="StGen0"/>
    <w:basedOn w:val="4359"/>
    <w:next w:val="4372"/>
    <w:link w:val="4519"/>
    <w:uiPriority w:val="10"/>
    <w:qFormat/>
    <w:pPr>
      <w:jc w:val="center"/>
    </w:pPr>
  </w:style>
  <w:style w:type="character" w:styleId="4519" w:customStyle="1">
    <w:name w:val="Название Знак"/>
    <w:link w:val="45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4520" w:customStyle="1">
    <w:name w:val="ConsPlusNonformat Знак"/>
    <w:link w:val="4415"/>
    <w:uiPriority w:val="99"/>
    <w:rPr>
      <w:rFonts w:ascii="Courier New" w:hAnsi="Courier New" w:cs="Courier New" w:eastAsiaTheme="minorEastAsia"/>
      <w:sz w:val="20"/>
      <w:szCs w:val="20"/>
      <w:lang w:eastAsia="ru-RU"/>
    </w:rPr>
  </w:style>
  <w:style w:type="character" w:styleId="4521" w:customStyle="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4522" w:customStyle="1">
    <w:name w:val="Основной текст (2)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styleId="4523" w:customStyle="1">
    <w:name w:val="Основной текст (2) +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styleId="4524" w:customStyle="1">
    <w:name w:val="Font Style16"/>
    <w:uiPriority w:val="99"/>
    <w:rPr>
      <w:rFonts w:ascii="Times New Roman" w:hAnsi="Times New Roman" w:cs="Times New Roman"/>
      <w:sz w:val="16"/>
      <w:szCs w:val="16"/>
    </w:rPr>
  </w:style>
  <w:style w:type="character" w:styleId="4525" w:customStyle="1">
    <w:name w:val="Цветовое выделение для Текст"/>
    <w:rPr>
      <w:sz w:val="24"/>
    </w:rPr>
  </w:style>
  <w:style w:type="paragraph" w:styleId="4526">
    <w:name w:val="Plain Text"/>
    <w:basedOn w:val="4359"/>
    <w:link w:val="4527"/>
    <w:rPr>
      <w:rFonts w:ascii="Courier New" w:hAnsi="Courier New"/>
      <w:sz w:val="20"/>
      <w:szCs w:val="20"/>
    </w:rPr>
  </w:style>
  <w:style w:type="character" w:styleId="4527" w:customStyle="1">
    <w:name w:val="Текст Знак"/>
    <w:basedOn w:val="4369"/>
    <w:link w:val="4526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4528">
    <w:name w:val="Caption"/>
    <w:basedOn w:val="4359"/>
    <w:next w:val="4359"/>
    <w:link w:val="4225"/>
    <w:uiPriority w:val="35"/>
    <w:unhideWhenUsed/>
    <w:qFormat/>
    <w:pPr>
      <w:jc w:val="center"/>
    </w:pPr>
    <w:rPr>
      <w:b/>
      <w:bCs/>
      <w:sz w:val="20"/>
      <w:szCs w:val="20"/>
    </w:rPr>
  </w:style>
  <w:style w:type="character" w:styleId="4529" w:customStyle="1">
    <w:name w:val="apple-converted-space"/>
  </w:style>
  <w:style w:type="character" w:styleId="4530">
    <w:name w:val="Subtle Emphasis"/>
    <w:uiPriority w:val="19"/>
    <w:qFormat/>
    <w:rPr>
      <w:i/>
      <w:iCs/>
      <w:color w:val="808080"/>
    </w:rPr>
  </w:style>
  <w:style w:type="character" w:styleId="4531" w:customStyle="1">
    <w:name w:val="ya-share2__counter"/>
    <w:basedOn w:val="4369"/>
  </w:style>
  <w:style w:type="character" w:styleId="4532" w:customStyle="1">
    <w:name w:val="Обычный (веб) Знак"/>
    <w:link w:val="437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533" w:customStyle="1">
    <w:name w:val="Style20"/>
    <w:basedOn w:val="4359"/>
    <w:uiPriority w:val="99"/>
    <w:pPr>
      <w:jc w:val="right"/>
      <w:widowControl w:val="off"/>
    </w:pPr>
  </w:style>
  <w:style w:type="paragraph" w:styleId="4534">
    <w:name w:val="toc 1"/>
    <w:basedOn w:val="4359"/>
    <w:next w:val="4359"/>
    <w:uiPriority w:val="39"/>
    <w:unhideWhenUsed/>
    <w:qFormat/>
    <w:pPr>
      <w:jc w:val="both"/>
      <w:spacing w:before="240" w:after="240"/>
      <w:tabs>
        <w:tab w:val="right" w:pos="9741" w:leader="dot"/>
      </w:tabs>
    </w:pPr>
    <w:rPr>
      <w:sz w:val="28"/>
      <w:szCs w:val="28"/>
    </w:rPr>
  </w:style>
  <w:style w:type="paragraph" w:styleId="4535">
    <w:name w:val="toc 2"/>
    <w:basedOn w:val="4359"/>
    <w:next w:val="4359"/>
    <w:uiPriority w:val="39"/>
    <w:unhideWhenUsed/>
    <w:qFormat/>
    <w:pPr>
      <w:ind w:left="220"/>
      <w:spacing w:after="200" w:line="276" w:lineRule="auto"/>
    </w:pPr>
    <w:rPr>
      <w:rFonts w:ascii="Calibri" w:hAnsi="Calibri"/>
      <w:sz w:val="22"/>
      <w:szCs w:val="22"/>
    </w:rPr>
  </w:style>
  <w:style w:type="paragraph" w:styleId="4536" w:customStyle="1">
    <w:name w:val="ConsNonformat"/>
    <w:link w:val="4581"/>
    <w:pPr>
      <w:spacing w:after="0" w:line="240" w:lineRule="auto"/>
      <w:widowControl w:val="off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4537">
    <w:name w:val="TOC Heading"/>
    <w:basedOn w:val="4360"/>
    <w:next w:val="4359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mbria" w:hAnsi="Cambria" w:eastAsia="Times New Roman" w:cs="Times New Roman"/>
      <w:color w:val="365f91"/>
      <w:sz w:val="28"/>
      <w:szCs w:val="28"/>
    </w:rPr>
  </w:style>
  <w:style w:type="paragraph" w:styleId="4538" w:customStyle="1">
    <w:name w:val="formattext"/>
    <w:basedOn w:val="4359"/>
    <w:pPr>
      <w:spacing w:before="100" w:beforeAutospacing="1" w:after="100" w:afterAutospacing="1"/>
    </w:pPr>
  </w:style>
  <w:style w:type="character" w:styleId="4539" w:customStyle="1">
    <w:name w:val="Основной текст (2)_"/>
    <w:rPr>
      <w:sz w:val="28"/>
      <w:szCs w:val="28"/>
      <w:shd w:val="clear" w:color="auto" w:fill="ffffff"/>
    </w:rPr>
  </w:style>
  <w:style w:type="character" w:styleId="4540" w:customStyle="1">
    <w:name w:val="Верхний колонтитул Знак1"/>
    <w:basedOn w:val="4369"/>
    <w:uiPriority w:val="99"/>
    <w:semiHidden/>
    <w:rPr>
      <w:rFonts w:eastAsiaTheme="minorEastAsia"/>
      <w:lang w:eastAsia="ru-RU"/>
    </w:rPr>
  </w:style>
  <w:style w:type="character" w:styleId="4541" w:customStyle="1">
    <w:name w:val="Текст выноски Знак1"/>
    <w:basedOn w:val="4369"/>
    <w:uiPriority w:val="99"/>
    <w:semiHidden/>
    <w:rPr>
      <w:rFonts w:ascii="Tahoma" w:hAnsi="Tahoma" w:cs="Tahoma" w:eastAsiaTheme="minorEastAsia"/>
      <w:sz w:val="16"/>
      <w:szCs w:val="16"/>
      <w:lang w:eastAsia="ru-RU"/>
    </w:rPr>
  </w:style>
  <w:style w:type="paragraph" w:styleId="4542" w:customStyle="1">
    <w:name w:val="Pa9"/>
    <w:basedOn w:val="4359"/>
    <w:next w:val="4359"/>
    <w:uiPriority w:val="99"/>
    <w:pPr>
      <w:spacing w:line="271" w:lineRule="atLeast"/>
    </w:pPr>
    <w:rPr>
      <w:rFonts w:ascii="PT Sans" w:hAnsi="PT Sans" w:eastAsiaTheme="minorEastAsia" w:cstheme="minorBidi"/>
    </w:rPr>
  </w:style>
  <w:style w:type="paragraph" w:styleId="4543" w:customStyle="1">
    <w:name w:val="Pa12"/>
    <w:basedOn w:val="4444"/>
    <w:next w:val="4444"/>
    <w:uiPriority w:val="99"/>
    <w:pPr>
      <w:spacing w:line="181" w:lineRule="atLeast"/>
    </w:pPr>
    <w:rPr>
      <w:rFonts w:ascii="PT Sans" w:hAnsi="PT Sans" w:eastAsiaTheme="minorEastAsia" w:cstheme="minorBidi"/>
      <w:color w:val="auto"/>
    </w:rPr>
  </w:style>
  <w:style w:type="paragraph" w:styleId="4544" w:customStyle="1">
    <w:name w:val="Pa14"/>
    <w:basedOn w:val="4444"/>
    <w:next w:val="4444"/>
    <w:uiPriority w:val="99"/>
    <w:pPr>
      <w:spacing w:line="181" w:lineRule="atLeast"/>
    </w:pPr>
    <w:rPr>
      <w:rFonts w:ascii="PT Sans" w:hAnsi="PT Sans" w:eastAsiaTheme="minorEastAsia" w:cstheme="minorBidi"/>
      <w:color w:val="auto"/>
    </w:rPr>
  </w:style>
  <w:style w:type="paragraph" w:styleId="4545" w:customStyle="1">
    <w:name w:val="Pa13"/>
    <w:basedOn w:val="4444"/>
    <w:next w:val="4444"/>
    <w:uiPriority w:val="99"/>
    <w:pPr>
      <w:spacing w:line="181" w:lineRule="atLeast"/>
    </w:pPr>
    <w:rPr>
      <w:rFonts w:ascii="PT Sans" w:hAnsi="PT Sans" w:eastAsiaTheme="minorEastAsia" w:cstheme="minorBidi"/>
      <w:color w:val="auto"/>
    </w:rPr>
  </w:style>
  <w:style w:type="paragraph" w:styleId="4546" w:customStyle="1">
    <w:name w:val="Pa3"/>
    <w:basedOn w:val="4444"/>
    <w:next w:val="4444"/>
    <w:uiPriority w:val="99"/>
    <w:pPr>
      <w:spacing w:line="201" w:lineRule="atLeast"/>
    </w:pPr>
    <w:rPr>
      <w:rFonts w:ascii="TT Jenevers" w:hAnsi="TT Jenevers" w:eastAsiaTheme="minorEastAsia" w:cstheme="minorBidi"/>
      <w:color w:val="auto"/>
    </w:rPr>
  </w:style>
  <w:style w:type="character" w:styleId="4547" w:customStyle="1">
    <w:name w:val="A10"/>
    <w:uiPriority w:val="99"/>
    <w:rPr>
      <w:rFonts w:ascii="PT_Russia Text" w:hAnsi="PT_Russia Text" w:cs="PT_Russia Text"/>
      <w:color w:val="000000"/>
      <w:sz w:val="11"/>
      <w:szCs w:val="11"/>
    </w:rPr>
  </w:style>
  <w:style w:type="character" w:styleId="4548" w:customStyle="1">
    <w:name w:val="A4"/>
    <w:uiPriority w:val="99"/>
    <w:rPr>
      <w:rFonts w:cs="TT Jenevers"/>
      <w:color w:val="000000"/>
      <w:sz w:val="20"/>
      <w:szCs w:val="20"/>
    </w:rPr>
  </w:style>
  <w:style w:type="table" w:styleId="4549" w:customStyle="1">
    <w:name w:val="Сетка таблицы3"/>
    <w:basedOn w:val="4370"/>
    <w:next w:val="4391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550" w:customStyle="1">
    <w:name w:val="Основной текст (10) + Не полужирный;Не курсив"/>
    <w:basedOn w:val="4516"/>
    <w:rPr>
      <w:rFonts w:ascii="Times New Roman" w:hAnsi="Times New Roman" w:eastAsia="Times New Roman" w:cs="Times New Roman"/>
      <w:b/>
      <w:bCs/>
      <w:i/>
      <w:i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4551" w:customStyle="1">
    <w:name w:val="Текст простой"/>
    <w:basedOn w:val="4359"/>
    <w:pPr>
      <w:ind w:firstLine="851"/>
      <w:jc w:val="both"/>
    </w:pPr>
    <w:rPr>
      <w:sz w:val="28"/>
      <w:szCs w:val="28"/>
    </w:rPr>
  </w:style>
  <w:style w:type="paragraph" w:styleId="4552">
    <w:name w:val="List Number 2"/>
    <w:basedOn w:val="4359"/>
    <w:uiPriority w:val="99"/>
    <w:unhideWhenUsed/>
    <w:pPr>
      <w:numPr>
        <w:ilvl w:val="0"/>
        <w:numId w:val="1"/>
      </w:numPr>
      <w:contextualSpacing/>
      <w:ind w:firstLine="709"/>
      <w:jc w:val="both"/>
    </w:pPr>
    <w:rPr>
      <w:sz w:val="20"/>
      <w:szCs w:val="20"/>
    </w:rPr>
  </w:style>
  <w:style w:type="character" w:styleId="4553" w:customStyle="1">
    <w:name w:val="VL_Сноска Знак"/>
    <w:link w:val="4554"/>
    <w:qFormat/>
    <w:rPr>
      <w:color w:val="31373c"/>
      <w:sz w:val="18"/>
    </w:rPr>
  </w:style>
  <w:style w:type="paragraph" w:styleId="4554" w:customStyle="1">
    <w:name w:val="VL_Основной текст"/>
    <w:basedOn w:val="4359"/>
    <w:link w:val="4553"/>
    <w:qFormat/>
    <w:pPr>
      <w:jc w:val="both"/>
      <w:spacing w:before="240"/>
    </w:pPr>
    <w:rPr>
      <w:rFonts w:asciiTheme="minorHAnsi" w:hAnsiTheme="minorHAnsi" w:eastAsiaTheme="minorHAnsi" w:cstheme="minorBidi"/>
      <w:color w:val="31373c"/>
      <w:sz w:val="18"/>
      <w:szCs w:val="22"/>
      <w:lang w:eastAsia="en-US"/>
    </w:rPr>
  </w:style>
  <w:style w:type="character" w:styleId="4555" w:customStyle="1">
    <w:name w:val="fontstyle01"/>
    <w:basedOn w:val="4369"/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paragraph" w:styleId="4556" w:customStyle="1">
    <w:name w:val="Pa6"/>
    <w:basedOn w:val="4359"/>
    <w:next w:val="4359"/>
    <w:uiPriority w:val="99"/>
    <w:pPr>
      <w:spacing w:line="271" w:lineRule="atLeast"/>
    </w:pPr>
    <w:rPr>
      <w:rFonts w:ascii="PT Sans" w:hAnsi="PT Sans" w:eastAsiaTheme="minorHAnsi" w:cstheme="minorBidi"/>
      <w:lang w:eastAsia="en-US"/>
    </w:rPr>
  </w:style>
  <w:style w:type="paragraph" w:styleId="4557" w:customStyle="1">
    <w:name w:val="Pa5"/>
    <w:basedOn w:val="4359"/>
    <w:next w:val="4359"/>
    <w:uiPriority w:val="99"/>
    <w:pPr>
      <w:spacing w:line="201" w:lineRule="atLeast"/>
    </w:pPr>
    <w:rPr>
      <w:rFonts w:ascii="TT Jenevers Bold" w:hAnsi="Calibri" w:eastAsia="TT Jenevers Bold"/>
      <w:lang w:eastAsia="en-US"/>
    </w:rPr>
  </w:style>
  <w:style w:type="paragraph" w:styleId="4558" w:customStyle="1">
    <w:name w:val="Название объекта1"/>
    <w:basedOn w:val="4359"/>
    <w:pPr>
      <w:ind w:firstLine="567"/>
      <w:jc w:val="center"/>
      <w:spacing w:before="240" w:after="60"/>
    </w:pPr>
    <w:rPr>
      <w:rFonts w:ascii="Arial" w:hAnsi="Arial" w:cs="Arial"/>
      <w:b/>
      <w:bCs/>
      <w:sz w:val="32"/>
      <w:szCs w:val="32"/>
    </w:rPr>
  </w:style>
  <w:style w:type="paragraph" w:styleId="4559" w:customStyle="1">
    <w:name w:val="StGen1"/>
    <w:basedOn w:val="4359"/>
    <w:next w:val="4372"/>
    <w:qFormat/>
    <w:pPr>
      <w:jc w:val="center"/>
    </w:pPr>
    <w:rPr>
      <w:b/>
      <w:bCs/>
      <w:sz w:val="28"/>
      <w:szCs w:val="28"/>
    </w:rPr>
  </w:style>
  <w:style w:type="character" w:styleId="4560" w:customStyle="1">
    <w:name w:val="Основной текст с отступом 2 Знак1"/>
    <w:uiPriority w:val="99"/>
    <w:semiHidden/>
    <w:rPr>
      <w:sz w:val="22"/>
      <w:szCs w:val="22"/>
    </w:rPr>
  </w:style>
  <w:style w:type="paragraph" w:styleId="4561" w:customStyle="1">
    <w:name w:val="Информация об изменениях документа"/>
    <w:basedOn w:val="4438"/>
    <w:next w:val="4359"/>
    <w:uiPriority w:val="99"/>
    <w:pPr>
      <w:spacing w:before="75"/>
      <w:widowControl/>
    </w:pPr>
    <w:rPr>
      <w:rFonts w:eastAsia="Calibri"/>
      <w:color w:val="353842"/>
      <w:sz w:val="24"/>
      <w:szCs w:val="24"/>
      <w:shd w:val="clear" w:color="auto" w:fill="f0f0f0"/>
      <w:lang w:eastAsia="en-US"/>
    </w:rPr>
  </w:style>
  <w:style w:type="table" w:styleId="4562" w:customStyle="1">
    <w:name w:val="Список-таблица 2 — акцент 61"/>
    <w:basedOn w:val="4370"/>
    <w:uiPriority w:val="47"/>
    <w:pPr>
      <w:spacing w:after="0" w:line="240" w:lineRule="auto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A8D08D" w:sz="4" w:space="0"/>
        <w:bottom w:val="single" w:color="A8D08D" w:sz="4" w:space="0"/>
        <w:insideH w:val="single" w:color="A8D08D" w:sz="4" w:space="0"/>
      </w:tblBorders>
    </w:tblPr>
    <w:tblStylePr w:type="band1Horz">
      <w:tcPr>
        <w:shd w:val="clear" w:color="auto" w:fill="e2efd9"/>
      </w:tcPr>
    </w:tblStylePr>
    <w:tblStylePr w:type="band1Vert">
      <w:tcPr>
        <w:shd w:val="clear" w:color="auto" w:fill="e2efd9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</w:tblStylePr>
  </w:style>
  <w:style w:type="character" w:styleId="4563">
    <w:name w:val="Subtle Reference"/>
    <w:uiPriority w:val="31"/>
    <w:qFormat/>
    <w:rPr>
      <w:smallCaps/>
      <w:color w:val="5a5a5a"/>
    </w:rPr>
  </w:style>
  <w:style w:type="paragraph" w:styleId="4564">
    <w:name w:val="Quote"/>
    <w:basedOn w:val="4359"/>
    <w:next w:val="4359"/>
    <w:link w:val="4565"/>
    <w:uiPriority w:val="29"/>
    <w:qFormat/>
    <w:pPr>
      <w:ind w:left="864" w:right="864"/>
      <w:jc w:val="both"/>
      <w:spacing w:before="200" w:after="160" w:line="276" w:lineRule="auto"/>
    </w:pPr>
    <w:rPr>
      <w:i/>
      <w:iCs/>
      <w:color w:val="404040"/>
      <w:sz w:val="28"/>
      <w:szCs w:val="28"/>
    </w:rPr>
  </w:style>
  <w:style w:type="character" w:styleId="4565" w:customStyle="1">
    <w:name w:val="Цитата 2 Знак"/>
    <w:basedOn w:val="4369"/>
    <w:link w:val="4564"/>
    <w:uiPriority w:val="29"/>
    <w:rPr>
      <w:rFonts w:ascii="Times New Roman" w:hAnsi="Times New Roman" w:eastAsia="Times New Roman" w:cs="Times New Roman"/>
      <w:i/>
      <w:iCs/>
      <w:color w:val="404040"/>
      <w:sz w:val="28"/>
      <w:szCs w:val="28"/>
      <w:lang w:eastAsia="ru-RU"/>
    </w:rPr>
  </w:style>
  <w:style w:type="table" w:styleId="4566">
    <w:name w:val="List Table 2 Accent 6"/>
    <w:basedOn w:val="4370"/>
    <w:uiPriority w:val="47"/>
    <w:pPr>
      <w:spacing w:after="0" w:line="240" w:lineRule="auto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A8D08D" w:sz="4" w:space="0"/>
        <w:bottom w:val="single" w:color="A8D08D" w:sz="4" w:space="0"/>
        <w:insideH w:val="single" w:color="A8D08D" w:sz="4" w:space="0"/>
      </w:tblBorders>
    </w:tblPr>
    <w:tblStylePr w:type="band1Horz">
      <w:tcPr>
        <w:shd w:val="clear" w:color="auto" w:fill="e2efd9"/>
      </w:tcPr>
    </w:tblStylePr>
    <w:tblStylePr w:type="band1Vert">
      <w:tcPr>
        <w:shd w:val="clear" w:color="auto" w:fill="e2efd9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</w:tblStylePr>
  </w:style>
  <w:style w:type="table" w:styleId="4567" w:customStyle="1">
    <w:name w:val="Grid Table 1 Light - Accent 1"/>
    <w:basedOn w:val="43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character" w:styleId="4568" w:customStyle="1">
    <w:name w:val="Другое_"/>
    <w:basedOn w:val="4369"/>
    <w:link w:val="4569"/>
    <w:rPr>
      <w:rFonts w:ascii="Times New Roman" w:hAnsi="Times New Roman" w:eastAsia="Times New Roman" w:cs="Times New Roman"/>
    </w:rPr>
  </w:style>
  <w:style w:type="paragraph" w:styleId="4569" w:customStyle="1">
    <w:name w:val="Другое"/>
    <w:basedOn w:val="4359"/>
    <w:link w:val="4568"/>
    <w:pPr>
      <w:widowControl w:val="off"/>
    </w:pPr>
    <w:rPr>
      <w:sz w:val="22"/>
      <w:szCs w:val="22"/>
      <w:lang w:eastAsia="en-US"/>
    </w:rPr>
  </w:style>
  <w:style w:type="paragraph" w:styleId="4570" w:customStyle="1">
    <w:name w:val="No Spacing"/>
    <w:basedOn w:val="4359"/>
    <w:pPr>
      <w:spacing w:before="100" w:beforeAutospacing="1" w:after="100" w:afterAutospacing="1"/>
    </w:pPr>
  </w:style>
  <w:style w:type="character" w:styleId="4571" w:customStyle="1">
    <w:name w:val="Основной текст + Полужирный;Курсив"/>
    <w:rPr>
      <w:rFonts w:ascii="Times New Roman" w:hAnsi="Times New Roman" w:eastAsia="Times New Roman" w:cs="Times New Roman"/>
      <w:b/>
      <w:bCs/>
      <w:i/>
      <w:i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4572" w:customStyle="1">
    <w:name w:val="a"/>
    <w:basedOn w:val="4359"/>
    <w:pPr>
      <w:spacing w:before="100" w:beforeAutospacing="1" w:after="100" w:afterAutospacing="1"/>
    </w:pPr>
    <w:rPr>
      <w:rFonts w:eastAsia="Batang"/>
    </w:rPr>
  </w:style>
  <w:style w:type="numbering" w:styleId="4573" w:customStyle="1">
    <w:name w:val="Нет списка2"/>
    <w:next w:val="4371"/>
    <w:uiPriority w:val="99"/>
    <w:semiHidden/>
    <w:unhideWhenUsed/>
  </w:style>
  <w:style w:type="table" w:styleId="4574" w:customStyle="1">
    <w:name w:val="Сетка таблицы1"/>
    <w:basedOn w:val="4370"/>
    <w:next w:val="4391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575" w:customStyle="1">
    <w:name w:val="ConsPlusNonformat Text"/>
    <w:uiPriority w:val="99"/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4576" w:customStyle="1">
    <w:name w:val="CM8"/>
    <w:basedOn w:val="4359"/>
    <w:next w:val="4359"/>
    <w:uiPriority w:val="99"/>
    <w:rPr>
      <w:rFonts w:ascii="HiddenHorzOCl" w:hAnsi="HiddenHorzOCl"/>
      <w:lang w:eastAsia="en-US"/>
    </w:rPr>
  </w:style>
  <w:style w:type="paragraph" w:styleId="4577" w:customStyle="1">
    <w:name w:val="StGen2"/>
    <w:basedOn w:val="4359"/>
    <w:next w:val="4372"/>
    <w:qFormat/>
    <w:pPr>
      <w:jc w:val="center"/>
    </w:pPr>
    <w:rPr>
      <w:b/>
      <w:bCs/>
      <w:sz w:val="28"/>
      <w:szCs w:val="28"/>
    </w:rPr>
  </w:style>
  <w:style w:type="character" w:styleId="4578" w:customStyle="1">
    <w:name w:val="Font Style70"/>
    <w:uiPriority w:val="99"/>
    <w:rPr>
      <w:rFonts w:ascii="Times New Roman" w:hAnsi="Times New Roman" w:cs="Times New Roman"/>
      <w:sz w:val="26"/>
      <w:szCs w:val="26"/>
    </w:rPr>
  </w:style>
  <w:style w:type="paragraph" w:styleId="4579" w:customStyle="1">
    <w:name w:val="Style61"/>
    <w:basedOn w:val="4359"/>
    <w:uiPriority w:val="99"/>
    <w:pPr>
      <w:ind w:firstLine="754"/>
      <w:jc w:val="both"/>
      <w:spacing w:line="321" w:lineRule="exact"/>
      <w:widowControl w:val="off"/>
    </w:pPr>
  </w:style>
  <w:style w:type="character" w:styleId="4580" w:customStyle="1">
    <w:name w:val="Стандартный HTML Знак1"/>
    <w:basedOn w:val="4369"/>
    <w:uiPriority w:val="99"/>
    <w:semiHidden/>
    <w:rPr>
      <w:rFonts w:ascii="Consolas" w:hAnsi="Consolas" w:eastAsia="Calibri" w:cs="Times New Roman"/>
      <w:sz w:val="20"/>
      <w:szCs w:val="20"/>
    </w:rPr>
  </w:style>
  <w:style w:type="character" w:styleId="4581" w:customStyle="1">
    <w:name w:val="ConsNonformat Знак"/>
    <w:link w:val="4536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4582" w:customStyle="1">
    <w:name w:val="Style18"/>
    <w:basedOn w:val="4359"/>
    <w:uiPriority w:val="99"/>
    <w:pPr>
      <w:ind w:firstLine="696"/>
      <w:jc w:val="both"/>
      <w:spacing w:line="370" w:lineRule="exact"/>
      <w:widowControl w:val="off"/>
    </w:pPr>
  </w:style>
  <w:style w:type="character" w:styleId="4583" w:customStyle="1">
    <w:name w:val="Заголовок Знак1"/>
    <w:basedOn w:val="4369"/>
    <w:rPr>
      <w:rFonts w:ascii="Calibri Light" w:hAnsi="Calibri Light" w:eastAsia="Times New Roman" w:cs="Times New Roman"/>
      <w:spacing w:val="-10"/>
      <w:sz w:val="56"/>
      <w:szCs w:val="56"/>
      <w:lang w:eastAsia="ru-RU"/>
    </w:rPr>
  </w:style>
  <w:style w:type="character" w:styleId="4584" w:customStyle="1">
    <w:name w:val="Font Style69"/>
    <w:basedOn w:val="4369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4585" w:customStyle="1">
    <w:name w:val="Style56"/>
    <w:basedOn w:val="4359"/>
    <w:uiPriority w:val="99"/>
    <w:pPr>
      <w:ind w:firstLine="1176"/>
      <w:jc w:val="both"/>
      <w:spacing w:line="331" w:lineRule="exact"/>
      <w:widowControl w:val="off"/>
    </w:pPr>
  </w:style>
  <w:style w:type="character" w:styleId="4586" w:customStyle="1">
    <w:name w:val="Текст примечания Знак1"/>
    <w:basedOn w:val="4369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4587" w:customStyle="1">
    <w:name w:val="Тема примечания Знак1"/>
    <w:basedOn w:val="4586"/>
    <w:uiPriority w:val="99"/>
    <w:semiHidden/>
    <w:rPr>
      <w:rFonts w:ascii="Calibri" w:hAnsi="Calibri" w:eastAsia="Calibri" w:cs="Times New Roman"/>
      <w:b/>
      <w:bCs/>
      <w:sz w:val="20"/>
      <w:szCs w:val="20"/>
    </w:rPr>
  </w:style>
  <w:style w:type="paragraph" w:styleId="4588">
    <w:name w:val="Block Text"/>
    <w:basedOn w:val="4359"/>
    <w:link w:val="4589"/>
    <w:pPr>
      <w:ind w:left="-567" w:right="-483" w:hanging="567"/>
      <w:jc w:val="both"/>
    </w:pPr>
    <w:rPr>
      <w:sz w:val="28"/>
      <w:szCs w:val="20"/>
    </w:rPr>
  </w:style>
  <w:style w:type="character" w:styleId="4589" w:customStyle="1">
    <w:name w:val="Цитата Знак"/>
    <w:link w:val="4588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4590">
    <w:name w:val="toc 3"/>
    <w:basedOn w:val="4359"/>
    <w:next w:val="4359"/>
    <w:uiPriority w:val="39"/>
    <w:semiHidden/>
    <w:unhideWhenUsed/>
    <w:qFormat/>
    <w:pPr>
      <w:ind w:left="440"/>
      <w:spacing w:after="100" w:line="276" w:lineRule="auto"/>
    </w:pPr>
    <w:rPr>
      <w:rFonts w:asciiTheme="minorHAnsi" w:hAnsiTheme="minorHAnsi" w:eastAsiaTheme="minorEastAsia" w:cstheme="minorBidi"/>
      <w:sz w:val="22"/>
      <w:szCs w:val="22"/>
      <w:lang w:eastAsia="en-US"/>
    </w:rPr>
  </w:style>
  <w:style w:type="paragraph" w:styleId="4591" w:customStyle="1">
    <w:name w:val="Акт Список"/>
    <w:basedOn w:val="4359"/>
    <w:qFormat/>
    <w:pPr>
      <w:ind w:left="992"/>
      <w:jc w:val="both"/>
    </w:pPr>
    <w:rPr>
      <w:sz w:val="28"/>
      <w:szCs w:val="28"/>
    </w:rPr>
  </w:style>
  <w:style w:type="character" w:styleId="4592" w:customStyle="1">
    <w:name w:val="A7"/>
    <w:uiPriority w:val="99"/>
    <w:rPr>
      <w:rFonts w:ascii="PT_Russia Text" w:hAnsi="PT_Russia Text" w:cs="PT_Russia Text"/>
      <w:color w:val="000000"/>
      <w:sz w:val="11"/>
      <w:szCs w:val="11"/>
    </w:rPr>
  </w:style>
  <w:style w:type="character" w:styleId="4593" w:customStyle="1">
    <w:name w:val="Знак Знак1"/>
    <w:basedOn w:val="4369"/>
    <w:uiPriority w:val="99"/>
    <w:semiHidden/>
    <w:rPr>
      <w:rFonts w:cs="Times New Roman"/>
    </w:rPr>
  </w:style>
  <w:style w:type="paragraph" w:styleId="4594" w:customStyle="1">
    <w:name w:val="Pa17"/>
    <w:basedOn w:val="4444"/>
    <w:next w:val="4444"/>
    <w:uiPriority w:val="99"/>
    <w:pPr>
      <w:spacing w:line="181" w:lineRule="atLeast"/>
    </w:pPr>
    <w:rPr>
      <w:rFonts w:ascii="PT_Russia Text" w:hAnsi="PT_Russia Text" w:eastAsiaTheme="minorHAnsi" w:cstheme="minorBidi"/>
      <w:color w:val="auto"/>
      <w:lang w:eastAsia="en-US"/>
    </w:rPr>
  </w:style>
  <w:style w:type="paragraph" w:styleId="4595" w:customStyle="1">
    <w:name w:val="Знак сноски1"/>
    <w:link w:val="4381"/>
    <w:uiPriority w:val="99"/>
    <w:pPr>
      <w:spacing w:after="0" w:line="360" w:lineRule="auto"/>
    </w:pPr>
    <w:rPr>
      <w:vertAlign w:val="superscript"/>
    </w:rPr>
  </w:style>
  <w:style w:type="character" w:styleId="4596">
    <w:name w:val="Unresolved Mention"/>
    <w:basedOn w:val="4369"/>
    <w:uiPriority w:val="99"/>
    <w:semiHidden/>
    <w:unhideWhenUsed/>
    <w:rPr>
      <w:color w:val="605e5c"/>
      <w:shd w:val="clear" w:color="auto" w:fill="e1dfdd"/>
    </w:rPr>
  </w:style>
  <w:style w:type="table" w:styleId="4597" w:customStyle="1">
    <w:name w:val="Таблица-сетка 5 темная — акцент 61"/>
    <w:basedOn w:val="4370"/>
    <w:uiPriority w:val="50"/>
    <w:pPr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e9d9" w:themeFill="accent6" w:themeFillTint="33"/>
    </w:tcPr>
    <w:tblStylePr w:type="band1Horz">
      <w:tcPr>
        <w:shd w:val="clear" w:color="auto" w:fill="fbd4b4" w:themeFill="accent6" w:themeFillTint="66"/>
      </w:tcPr>
    </w:tblStylePr>
    <w:tblStylePr w:type="band1Vert">
      <w:tcPr>
        <w:shd w:val="clear" w:color="auto" w:fill="fbd4b4" w:themeFill="accent6" w:themeFillTint="66"/>
      </w:tcPr>
    </w:tblStylePr>
    <w:tblStylePr w:type="firstCol">
      <w:rPr>
        <w:b/>
        <w:bCs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</w:tcBorders>
      </w:tcPr>
    </w:tblStylePr>
    <w:tblStylePr w:type="firstRow">
      <w:rPr>
        <w:b/>
        <w:bCs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f79646" w:themeFill="accent6"/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</w:tcBorders>
      </w:tcPr>
    </w:tblStylePr>
  </w:style>
  <w:style w:type="paragraph" w:styleId="4598" w:customStyle="1">
    <w:name w:val="Table Paragraph"/>
    <w:basedOn w:val="4359"/>
    <w:uiPriority w:val="1"/>
    <w:qFormat/>
    <w:pPr>
      <w:widowControl w:val="off"/>
    </w:pPr>
    <w:rPr>
      <w:rFonts w:ascii="Calibri" w:hAnsi="Calibri" w:eastAsia="Calibri"/>
      <w:sz w:val="20"/>
      <w:szCs w:val="20"/>
      <w:lang w:val="en-US" w:eastAsia="en-US"/>
    </w:rPr>
  </w:style>
  <w:style w:type="paragraph" w:styleId="4599" w:customStyle="1">
    <w:name w:val="Текст сноски;Знак;Footnote Text Char;Char Char"/>
    <w:link w:val="4249"/>
    <w:uiPriority w:val="99"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character" w:styleId="4600" w:customStyle="1">
    <w:name w:val="Знак сноски;текст сноски;Знак сноски-FN;Ciae niinee-FN;Знак сноски 1;Ciae niinee 1;анкета сноска"/>
    <w:uiPriority w:val="99"/>
    <w:rPr>
      <w:vertAlign w:val="superscript"/>
    </w:rPr>
  </w:style>
  <w:style w:type="paragraph" w:styleId="4601" w:customStyle="1">
    <w:name w:val="Footnot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eastAsia="Times New Roman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4602" w:customStyle="1">
    <w:name w:val="Нормальный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chart" Target="charts/chart1.xml" /><Relationship Id="rId13" Type="http://schemas.openxmlformats.org/officeDocument/2006/relationships/chart" Target="charts/chart2.xml" /><Relationship Id="rId14" Type="http://schemas.openxmlformats.org/officeDocument/2006/relationships/chart" Target="charts/chart3.xml" /><Relationship Id="rId15" Type="http://schemas.openxmlformats.org/officeDocument/2006/relationships/chart" Target="charts/chart4.xml" /><Relationship Id="rId16" Type="http://schemas.openxmlformats.org/officeDocument/2006/relationships/hyperlink" Target="https://xn--d1aluo.xn--p1ai/planning/regional/events/1519992" TargetMode="External"/><Relationship Id="rId17" Type="http://schemas.openxmlformats.org/officeDocument/2006/relationships/chart" Target="charts/chart5.xml" /><Relationship Id="rId18" Type="http://schemas.openxmlformats.org/officeDocument/2006/relationships/chart" Target="charts/chart6.xml" /><Relationship Id="rId19" Type="http://schemas.openxmlformats.org/officeDocument/2006/relationships/chart" Target="charts/chart7.xml" /><Relationship Id="rId20" Type="http://schemas.openxmlformats.org/officeDocument/2006/relationships/chart" Target="charts/chart8.xml" /><Relationship Id="rId21" Type="http://schemas.openxmlformats.org/officeDocument/2006/relationships/chart" Target="charts/chart9.xml" /><Relationship Id="rId22" Type="http://schemas.openxmlformats.org/officeDocument/2006/relationships/chart" Target="charts/chart10.xml" /><Relationship Id="rId23" Type="http://schemas.openxmlformats.org/officeDocument/2006/relationships/hyperlink" Target="https://arbitr.garant.ru/document/redirect/12125267/151561" TargetMode="External"/><Relationship Id="rId24" Type="http://schemas.openxmlformats.org/officeDocument/2006/relationships/hyperlink" Target="https://arbitr.garant.ru/document/redirect/12125267/151561" TargetMode="External"/><Relationship Id="rId25" Type="http://schemas.openxmlformats.org/officeDocument/2006/relationships/hyperlink" Target="https://arbitr.garant.ru/document/redirect/12125267/151561" TargetMode="External"/><Relationship Id="rId26" Type="http://schemas.openxmlformats.org/officeDocument/2006/relationships/hyperlink" Target="https://arbitr.garant.ru/document/redirect/12125267/151561" TargetMode="External"/><Relationship Id="rId27" Type="http://schemas.openxmlformats.org/officeDocument/2006/relationships/hyperlink" Target="consultantplus://offline/ref=CD2F3C369EE161F5D9D1FA557271FD5D9DADD6F0670E0A0C9A563D1E59EF33B7B8CD1E089D0145D2BB2AB33F30255FF7FA9E780FA35E677Fn1cF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10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0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_rels/chart3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3.xlsx" /></Relationships>
</file>

<file path=word/charts/_rels/chart4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4.xlsx" /></Relationships>
</file>

<file path=word/charts/_rels/chart5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5.xlsx" /></Relationships>
</file>

<file path=word/charts/_rels/chart6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6.xlsx" /></Relationships>
</file>

<file path=word/charts/_rels/chart7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7.xlsx" /></Relationships>
</file>

<file path=word/charts/_rels/chart8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8.xlsx" /></Relationships>
</file>

<file path=word/charts/_rels/chart9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9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5510"/>
          <c:y val="0.000000"/>
          <c:w val="0.987410"/>
          <c:h val="0.36620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 scaled="1"/>
            </a:gradFill>
            <a:ln w="0">
              <a:noFill/>
            </a:ln>
          </c:spPr>
          <c:invertIfNegative val="0"/>
          <c:dLbls>
            <c:dLbl>
              <c:idx val="6"/>
              <c:dLblPos val="outEnd"/>
              <c:layout>
                <c:manualLayout>
                  <c:x val="0.000000"/>
                  <c:y val="0.02829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Pos val="inEnd"/>
            <c:separator xml:space="preserve">; </c:separator>
            <c:showBubbleSize val="1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1" u="none" strike="noStrike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 (3)'!$L$61:$S$62</c:f>
              <c:multiLvlStrCache>
                <c:ptCount val="8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  <c:pt idx="4">
                    <c:v>всего</c:v>
                  </c:pt>
                  <c:pt idx="5">
                    <c:v xml:space="preserve">в т.ч. за 
счет средств
2021-2024 годов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Выполнено за счет бюджетных ассигнований</c:v>
                  </c:pt>
                  <c:pt idx="6">
                    <c:v xml:space="preserve">Дебиторская задолженность 
на 01.01.2026</c:v>
                  </c:pt>
                  <c:pt idx="7">
                    <c:v xml:space="preserve">Кредиторская задолженность 
на 01.01.2026</c:v>
                  </c:pt>
                </c:lvl>
              </c:multiLvlStrCache>
            </c:multiLvlStrRef>
          </c:cat>
          <c:val>
            <c:numRef>
              <c:f xml:space="preserve">'Диаграмам 9-25 (3)'!$L$63:$S$63</c:f>
              <c:numCache>
                <c:formatCode xml:space="preserve">_-* #\ ##0.0\ _₽_-;\-* #\ ##0.0\ _₽_-;_-* \-?\ _₽_-;_-@_-</c:formatCode>
                <c:ptCount val="8"/>
                <c:pt idx="0">
                  <c:v>5776.94306</c:v>
                </c:pt>
                <c:pt idx="1">
                  <c:v>5713.62757283</c:v>
                </c:pt>
                <c:pt idx="2">
                  <c:v>5818.9664</c:v>
                </c:pt>
                <c:pt idx="3">
                  <c:v>5734.08918711</c:v>
                </c:pt>
                <c:pt idx="4">
                  <c:v>5721.69744926</c:v>
                </c:pt>
                <c:pt idx="5">
                  <c:v>697.74119724</c:v>
                </c:pt>
                <c:pt idx="6" formatCode="#\ ##0.0">
                  <c:v>1905.26148561</c:v>
                </c:pt>
                <c:pt idx="7" formatCode="#\ ##0.0">
                  <c:v>0.10341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41"/>
        <c:axId val="256437073"/>
        <c:axId val="256437074"/>
      </c:barChart>
      <c:catAx>
        <c:axId val="256437073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 bwMode="auto">
          <a:prstGeom prst="rect">
            <a:avLst/>
          </a:prstGeom>
          <a:ln w="6480">
            <a:noFill/>
          </a:ln>
        </c:spPr>
        <c:txPr>
          <a:bodyPr/>
          <a:lstStyle/>
          <a:p>
            <a:pPr>
              <a:defRPr sz="800" b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56437074"/>
        <c:crosses val="autoZero"/>
        <c:auto val="1"/>
        <c:lblAlgn val="ctr"/>
        <c:lblOffset val="100"/>
        <c:noMultiLvlLbl val="0"/>
      </c:catAx>
      <c:valAx>
        <c:axId val="256437074"/>
        <c:scaling>
          <c:orientation val="minMax"/>
        </c:scaling>
        <c:delete val="1"/>
        <c:axPos val="l"/>
        <c:numFmt formatCode="_-* #\ ##0.0\ _₽_-;\-* #\ ##0.0\ _₽_-;_-* \-?\ _₽_-;_-@_-" sourceLinked="1"/>
        <c:majorTickMark val="none"/>
        <c:minorTickMark val="none"/>
        <c:tickLblPos val="nextTo"/>
        <c:crossAx val="256437073"/>
        <c:crosses val="autoZero"/>
        <c:crossBetween val="between"/>
      </c:valAx>
      <c:spPr bwMode="auto">
        <a:prstGeom prst="rect">
          <a:avLst/>
        </a:prstGeom>
        <a:noFill/>
        <a:ln w="0">
          <a:noFill/>
        </a:ln>
      </c:spPr>
    </c:plotArea>
    <c:plotVisOnly val="1"/>
    <c:dispBlanksAs val="gap"/>
    <c:showDLblsOverMax val="1"/>
  </c:chart>
  <c:spPr bwMode="auto">
    <a:xfrm>
      <a:off x="0" y="0"/>
      <a:ext cx="0" cy="0"/>
    </a:xfrm>
    <a:prstGeom prst="rect">
      <a:avLst/>
    </a:prstGeom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 scaled="1"/>
    </a:gradFill>
    <a:ln w="9360">
      <a:solidFill>
        <a:srgbClr val="D9D9D9"/>
      </a:solidFill>
      <a:round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5770"/>
          <c:y val="0.002790"/>
          <c:w val="0.994220"/>
          <c:h val="0.45809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5"/>
              <c:dLblPos val="outEnd"/>
              <c:layout>
                <c:manualLayout>
                  <c:x val="0.000000"/>
                  <c:y val="0.020200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inEnd"/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099" tIns="19049" rIns="38099" bIns="19049" anchor="ctr" anchorCtr="1">
                <a:spAutoFit/>
              </a:bodyPr>
              <a:lstStyle/>
              <a:p>
                <a:pPr>
                  <a:defRPr sz="1000" b="1" i="0" u="none" strike="noStrike">
                    <a:solidFill>
                      <a:schemeClr val="tx1"/>
                    </a:solidFill>
                    <a:latin typeface="Times New Roman"/>
                    <a:ea typeface="+mn-ea"/>
                    <a:cs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9-25'!$L$44:$Q$45</c:f>
              <c:multiLvlStrCache>
                <c:ptCount val="6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  <c:pt idx="4">
                    <c:v>всего</c:v>
                  </c:pt>
                  <c:pt idx="5">
                    <c:v xml:space="preserve">в т.ч. за 
счет средств
2024 года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Фактическое выполнение </c:v>
                  </c:pt>
                </c:lvl>
              </c:multiLvlStrCache>
            </c:multiLvlStrRef>
          </c:cat>
          <c:val>
            <c:numRef>
              <c:f xml:space="preserve">'Диаграмам 9-25'!$L$46:$Q$46</c:f>
              <c:numCache>
                <c:formatCode xml:space="preserve">#\ ##0.0</c:formatCode>
                <c:ptCount val="6"/>
                <c:pt idx="0">
                  <c:v>2099.9</c:v>
                </c:pt>
                <c:pt idx="1">
                  <c:v>2099.9</c:v>
                </c:pt>
                <c:pt idx="2">
                  <c:v>2099.9</c:v>
                </c:pt>
                <c:pt idx="3">
                  <c:v>2099.9</c:v>
                </c:pt>
                <c:pt idx="4">
                  <c:v>2999.766</c:v>
                </c:pt>
                <c:pt idx="5">
                  <c:v>899.9298</c:v>
                </c:pt>
              </c:numCache>
            </c:numRef>
          </c:val>
        </c:ser>
        <c:dLbls>
          <c:dLblPos val="inEnd"/>
          <c:showBubbleSize val="0"/>
          <c:showCatName val="0"/>
          <c:showLeaderLines val="0"/>
          <c:showLegendKey val="0"/>
          <c:showPercent val="0"/>
          <c:showSerName val="0"/>
          <c:showVal val="1"/>
        </c:dLbls>
        <c:gapWidth val="41"/>
        <c:axId val="256437091"/>
        <c:axId val="256437092"/>
      </c:barChart>
      <c:catAx>
        <c:axId val="2564370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  <a:beve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>
                <a:solidFill>
                  <a:schemeClr val="dk1">
                    <a:lumMod val="65000"/>
                    <a:lumOff val="35000"/>
                  </a:schemeClr>
                </a:solidFill>
                <a:latin typeface="Times New Roman"/>
                <a:ea typeface="Arial"/>
                <a:cs typeface="Times New Roman"/>
              </a:defRPr>
            </a:pPr>
            <a:endParaRPr lang="ru-RU"/>
          </a:p>
        </c:txPr>
        <c:crossAx val="256437092"/>
        <c:crosses val="autoZero"/>
        <c:auto val="1"/>
        <c:lblAlgn val="ctr"/>
        <c:lblOffset val="100"/>
        <c:noMultiLvlLbl val="0"/>
      </c:catAx>
      <c:valAx>
        <c:axId val="256437092"/>
        <c:scaling>
          <c:orientation val="minMax"/>
        </c:scaling>
        <c:delete val="1"/>
        <c:axPos val="l"/>
        <c:numFmt formatCode="#\ ##0.0" sourceLinked="1"/>
        <c:majorTickMark val="none"/>
        <c:minorTickMark val="none"/>
        <c:tickLblPos val="nextTo"/>
        <c:crossAx val="256437091"/>
        <c:crosses val="autoZero"/>
        <c:crossBetween val="between"/>
      </c:valAx>
      <c:spPr bwMode="auto">
        <a:prstGeom prst="rect">
          <a:avLst/>
        </a:prstGeom>
        <a:noFill/>
        <a:ln>
          <a:noFill/>
        </a:ln>
        <a:effectLst/>
      </c:spPr>
    </c:plotArea>
    <c:plotVisOnly val="1"/>
    <c:dispBlanksAs val="gap"/>
    <c:showDLblsOverMax val="0"/>
  </c:chart>
  <c:spPr bwMode="auto">
    <a:xfrm>
      <a:off x="0" y="0"/>
      <a:ext cx="0" cy="0"/>
    </a:xfrm>
    <a:prstGeom prst="rect">
      <a:avLst/>
    </a:prstGeom>
    <a:gradFill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5750"/>
          <c:y val="0.002830"/>
          <c:w val="0.993830"/>
          <c:h val="0.33882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 scaled="1"/>
            </a:gradFill>
            <a:ln w="0">
              <a:noFill/>
            </a:ln>
          </c:spPr>
          <c:invertIfNegative val="0"/>
          <c:dPt>
            <c:idx val="5"/>
            <c:invertIfNegative val="0"/>
            <c:bubble3D val="0"/>
          </c:dPt>
          <c:dLbls>
            <c:dLbl>
              <c:idx val="5"/>
              <c:dLblPos val="outEnd"/>
              <c:layout>
                <c:manualLayout>
                  <c:x val="0.000000"/>
                  <c:y val="-0.01040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  <c:spPr bwMode="auto"/>
              <c:txPr>
                <a:bodyPr wrap="square"/>
                <a:lstStyle/>
                <a:p>
                  <a:pPr>
                    <a:defRPr sz="1000" b="1" u="none" strike="noStrike">
                      <a:solidFill>
                        <a:srgbClr val="000000"/>
                      </a:solidFill>
                      <a:latin typeface="Times New Roman"/>
                    </a:defRPr>
                  </a:pPr>
                  <a:endParaRPr lang="ru-RU"/>
                </a:p>
              </c:txPr>
            </c:dLbl>
            <c:dLblPos val="inEnd"/>
            <c:separator xml:space="preserve">; </c:separator>
            <c:showBubbleSize val="1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1" u="none" strike="noStrike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9-25'!$L$22:$R$23</c:f>
              <c:multiLvlStrCache>
                <c:ptCount val="7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  <c:pt idx="4">
                    <c:v>всего</c:v>
                  </c:pt>
                  <c:pt idx="5">
                    <c:v xml:space="preserve">в т.ч. за 
счет средств
2024 года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Фактическое выполнение</c:v>
                  </c:pt>
                  <c:pt idx="6">
                    <c:v xml:space="preserve">Кредиторская задолженность на 01.01.2026</c:v>
                  </c:pt>
                </c:lvl>
              </c:multiLvlStrCache>
            </c:multiLvlStrRef>
          </c:cat>
          <c:val>
            <c:numRef>
              <c:f xml:space="preserve">'Диаграмам 9-25'!$L$24:$R$24</c:f>
              <c:numCache>
                <c:formatCode xml:space="preserve">#\ ##0.0</c:formatCode>
                <c:ptCount val="7"/>
                <c:pt idx="0">
                  <c:v>1045404.2</c:v>
                </c:pt>
                <c:pt idx="1">
                  <c:v>1045177.54852</c:v>
                </c:pt>
                <c:pt idx="2">
                  <c:v>1045708.5</c:v>
                </c:pt>
                <c:pt idx="3">
                  <c:v>1045357.54852</c:v>
                </c:pt>
                <c:pt idx="4">
                  <c:v>1035985.9602199999</c:v>
                </c:pt>
                <c:pt idx="5">
                  <c:v>2111.1</c:v>
                </c:pt>
                <c:pt idx="6">
                  <c:v>103.4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41"/>
        <c:axId val="256437075"/>
        <c:axId val="256437076"/>
      </c:barChart>
      <c:catAx>
        <c:axId val="256437075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 bwMode="auto">
          <a:prstGeom prst="rect">
            <a:avLst/>
          </a:prstGeom>
          <a:ln w="6480">
            <a:noFill/>
          </a:ln>
        </c:spPr>
        <c:txPr>
          <a:bodyPr/>
          <a:lstStyle/>
          <a:p>
            <a:pPr>
              <a:defRPr sz="800" b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56437076"/>
        <c:crosses val="autoZero"/>
        <c:auto val="1"/>
        <c:lblAlgn val="ctr"/>
        <c:lblOffset val="100"/>
        <c:noMultiLvlLbl val="0"/>
      </c:catAx>
      <c:valAx>
        <c:axId val="256437076"/>
        <c:scaling>
          <c:orientation val="minMax"/>
        </c:scaling>
        <c:delete val="1"/>
        <c:axPos val="l"/>
        <c:numFmt formatCode="#\ ##0.0" sourceLinked="1"/>
        <c:majorTickMark val="none"/>
        <c:minorTickMark val="none"/>
        <c:tickLblPos val="nextTo"/>
        <c:crossAx val="256437075"/>
        <c:crosses val="autoZero"/>
        <c:crossBetween val="between"/>
      </c:valAx>
      <c:spPr bwMode="auto">
        <a:prstGeom prst="rect">
          <a:avLst/>
        </a:prstGeom>
        <a:noFill/>
        <a:ln w="0">
          <a:noFill/>
        </a:ln>
      </c:spPr>
    </c:plotArea>
    <c:plotVisOnly val="1"/>
    <c:dispBlanksAs val="gap"/>
    <c:showDLblsOverMax val="1"/>
  </c:chart>
  <c:spPr bwMode="auto">
    <a:xfrm>
      <a:off x="0" y="0"/>
      <a:ext cx="0" cy="0"/>
    </a:xfrm>
    <a:prstGeom prst="rect">
      <a:avLst/>
    </a:prstGeom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 scaled="1"/>
    </a:gradFill>
    <a:ln w="9360">
      <a:solidFill>
        <a:srgbClr val="D9D9D9"/>
      </a:solidFill>
      <a:round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0000"/>
          <c:y val="0.000000"/>
          <c:w val="0.999440"/>
          <c:h val="0.33823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 scaled="1"/>
            </a:gradFill>
            <a:ln w="0">
              <a:noFill/>
            </a:ln>
          </c:spPr>
          <c:invertIfNegative val="0"/>
          <c:dLbls>
            <c:dLbl>
              <c:idx val="1"/>
              <c:dLblPos val="outEnd"/>
              <c:layout>
                <c:manualLayout>
                  <c:x val="-0.006090"/>
                  <c:y val="0.03150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2"/>
              <c:dLblPos val="outEnd"/>
              <c:layout>
                <c:manualLayout>
                  <c:x val="-0.002030"/>
                  <c:y val="0.03151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3"/>
              <c:dLblPos val="outEnd"/>
              <c:layout>
                <c:manualLayout>
                  <c:x val="-0.004060"/>
                  <c:y val="0.04380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4"/>
              <c:dLblPos val="outEnd"/>
              <c:layout>
                <c:manualLayout>
                  <c:x val="-0.006090"/>
                  <c:y val="0.04380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Pos val="inEnd"/>
            <c:separator xml:space="preserve">; </c:separator>
            <c:showBubbleSize val="1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1" u="none" strike="noStrike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 (2)'!$L$34:$P$35</c:f>
              <c:multiLvlStrCache>
                <c:ptCount val="5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Фактическое выполнение </c:v>
                  </c:pt>
                </c:lvl>
              </c:multiLvlStrCache>
            </c:multiLvlStrRef>
          </c:cat>
          <c:val>
            <c:numRef>
              <c:f xml:space="preserve">'Диаграмам 9-25 (2)'!$L$36:$P$36</c:f>
              <c:numCache>
                <c:formatCode xml:space="preserve">#\ ##0.0</c:formatCode>
                <c:ptCount val="5"/>
                <c:pt idx="0">
                  <c:v>4127.6</c:v>
                </c:pt>
                <c:pt idx="1">
                  <c:v>2175</c:v>
                </c:pt>
                <c:pt idx="2">
                  <c:v>2175.1</c:v>
                </c:pt>
                <c:pt idx="3">
                  <c:v>2175</c:v>
                </c:pt>
                <c:pt idx="4">
                  <c:v>2175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41"/>
        <c:axId val="256437077"/>
        <c:axId val="256437078"/>
      </c:barChart>
      <c:catAx>
        <c:axId val="25643707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 bwMode="auto">
          <a:prstGeom prst="rect">
            <a:avLst/>
          </a:prstGeom>
          <a:ln w="6480">
            <a:noFill/>
          </a:ln>
        </c:spPr>
        <c:txPr>
          <a:bodyPr/>
          <a:lstStyle/>
          <a:p>
            <a:pPr>
              <a:defRPr sz="900" b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56437078"/>
        <c:crosses val="autoZero"/>
        <c:auto val="1"/>
        <c:lblAlgn val="ctr"/>
        <c:lblOffset val="100"/>
        <c:noMultiLvlLbl val="0"/>
      </c:catAx>
      <c:valAx>
        <c:axId val="256437078"/>
        <c:scaling>
          <c:orientation val="minMax"/>
        </c:scaling>
        <c:delete val="1"/>
        <c:axPos val="l"/>
        <c:numFmt formatCode="#\ ##0.0" sourceLinked="1"/>
        <c:majorTickMark val="none"/>
        <c:minorTickMark val="none"/>
        <c:tickLblPos val="nextTo"/>
        <c:crossAx val="256437077"/>
        <c:crosses val="autoZero"/>
        <c:crossBetween val="between"/>
      </c:valAx>
      <c:spPr bwMode="auto">
        <a:prstGeom prst="rect">
          <a:avLst/>
        </a:prstGeom>
        <a:noFill/>
        <a:ln w="0">
          <a:noFill/>
        </a:ln>
      </c:spPr>
    </c:plotArea>
    <c:plotVisOnly val="1"/>
    <c:dispBlanksAs val="gap"/>
    <c:showDLblsOverMax val="1"/>
  </c:chart>
  <c:spPr bwMode="auto">
    <a:xfrm>
      <a:off x="0" y="0"/>
      <a:ext cx="5905499" cy="1189712"/>
    </a:xfrm>
    <a:prstGeom prst="rect">
      <a:avLst/>
    </a:prstGeom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 scaled="1"/>
    </a:gradFill>
    <a:ln w="9360">
      <a:solidFill>
        <a:srgbClr val="D9D9D9"/>
      </a:solidFill>
      <a:round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0070"/>
          <c:y val="0.000000"/>
          <c:w val="0.998440"/>
          <c:h val="0.33067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 scaled="1"/>
            </a:gradFill>
            <a:ln w="0">
              <a:noFill/>
            </a:ln>
          </c:spPr>
          <c:invertIfNegative val="0"/>
          <c:dLbls>
            <c:dLbl>
              <c:idx val="5"/>
              <c:dLblPos val="outEnd"/>
              <c:layout>
                <c:manualLayout>
                  <c:x val="-0.002040"/>
                  <c:y val="0.00660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6"/>
              <c:dLblPos val="outEnd"/>
              <c:layout>
                <c:manualLayout>
                  <c:x val="0.000000"/>
                  <c:y val="0.02331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Pos val="inEnd"/>
            <c:separator xml:space="preserve">; </c:separator>
            <c:showBubbleSize val="1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1" u="none" strike="noStrike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9-25'!$L$55:$R$56</c:f>
              <c:multiLvlStrCache>
                <c:ptCount val="7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  <c:pt idx="4">
                    <c:v>всего</c:v>
                  </c:pt>
                  <c:pt idx="5">
                    <c:v xml:space="preserve">в т.ч. за 
счет средств
2021-2024 годов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Фактическое выполнение </c:v>
                  </c:pt>
                  <c:pt idx="6">
                    <c:v xml:space="preserve">Дебиторская задолженность 
на 01.01.2026</c:v>
                  </c:pt>
                </c:lvl>
              </c:multiLvlStrCache>
            </c:multiLvlStrRef>
          </c:cat>
          <c:val>
            <c:numRef>
              <c:f xml:space="preserve">'Диаграмам 9-25'!$L$57:$R$57</c:f>
              <c:numCache>
                <c:formatCode xml:space="preserve">#\ ##0.0</c:formatCode>
                <c:ptCount val="7"/>
                <c:pt idx="0">
                  <c:v>3642284.1999999997</c:v>
                </c:pt>
                <c:pt idx="1">
                  <c:v>3638148.22545</c:v>
                </c:pt>
                <c:pt idx="2">
                  <c:v>3673848.6999999997</c:v>
                </c:pt>
                <c:pt idx="3">
                  <c:v>3644723.12729</c:v>
                </c:pt>
                <c:pt idx="4">
                  <c:v>3613102.83245</c:v>
                </c:pt>
                <c:pt idx="5">
                  <c:v>523866.11361</c:v>
                </c:pt>
                <c:pt idx="6">
                  <c:v>1068428.44808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41"/>
        <c:axId val="256437079"/>
        <c:axId val="256437080"/>
      </c:barChart>
      <c:catAx>
        <c:axId val="25643707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 bwMode="auto">
          <a:prstGeom prst="rect">
            <a:avLst/>
          </a:prstGeom>
          <a:ln w="6480">
            <a:noFill/>
          </a:ln>
        </c:spPr>
        <c:txPr>
          <a:bodyPr/>
          <a:lstStyle/>
          <a:p>
            <a:pPr>
              <a:defRPr sz="800" b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56437080"/>
        <c:crosses val="autoZero"/>
        <c:auto val="1"/>
        <c:lblAlgn val="ctr"/>
        <c:lblOffset val="100"/>
        <c:noMultiLvlLbl val="0"/>
      </c:catAx>
      <c:valAx>
        <c:axId val="256437080"/>
        <c:scaling>
          <c:orientation val="minMax"/>
        </c:scaling>
        <c:delete val="1"/>
        <c:axPos val="l"/>
        <c:numFmt formatCode="#\ ##0.0" sourceLinked="1"/>
        <c:majorTickMark val="none"/>
        <c:minorTickMark val="none"/>
        <c:tickLblPos val="nextTo"/>
        <c:crossAx val="256437079"/>
        <c:crosses val="autoZero"/>
        <c:crossBetween val="between"/>
      </c:valAx>
      <c:spPr bwMode="auto">
        <a:prstGeom prst="rect">
          <a:avLst/>
        </a:prstGeom>
        <a:noFill/>
        <a:ln w="0">
          <a:noFill/>
        </a:ln>
      </c:spPr>
    </c:plotArea>
    <c:plotVisOnly val="1"/>
    <c:dispBlanksAs val="gap"/>
    <c:showDLblsOverMax val="1"/>
  </c:chart>
  <c:spPr bwMode="auto">
    <a:xfrm>
      <a:off x="0" y="0"/>
      <a:ext cx="0" cy="0"/>
    </a:xfrm>
    <a:prstGeom prst="rect">
      <a:avLst/>
    </a:prstGeom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 scaled="1"/>
    </a:gradFill>
    <a:ln w="9360">
      <a:solidFill>
        <a:srgbClr val="D9D9D9"/>
      </a:solidFill>
      <a:round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1570"/>
          <c:y val="0.008590"/>
          <c:w val="0.995660"/>
          <c:h val="0.28739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 scaled="1"/>
            </a:gradFill>
            <a:ln w="0">
              <a:noFill/>
            </a:ln>
          </c:spPr>
          <c:invertIfNegative val="0"/>
          <c:dLbls>
            <c:dLbl>
              <c:idx val="5"/>
              <c:dLblPos val="outEnd"/>
              <c:layout>
                <c:manualLayout>
                  <c:x val="0.000000"/>
                  <c:y val="0.02109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6"/>
              <c:dLblPos val="outEnd"/>
              <c:layout>
                <c:manualLayout>
                  <c:x val="0.000000"/>
                  <c:y val="0.01904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Pos val="inEnd"/>
            <c:separator xml:space="preserve">; </c:separator>
            <c:showBubbleSize val="1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1" u="none" strike="noStrike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9-25'!$L$4:$R$5</c:f>
              <c:multiLvlStrCache>
                <c:ptCount val="7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  <c:pt idx="4">
                    <c:v>всего</c:v>
                  </c:pt>
                  <c:pt idx="5">
                    <c:v xml:space="preserve">в т.ч. за 
счет средств
2023-2024 годов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Фактическое выполнение </c:v>
                  </c:pt>
                  <c:pt idx="6">
                    <c:v xml:space="preserve">Дебиторская задолженность на 01.01.2026</c:v>
                  </c:pt>
                </c:lvl>
              </c:multiLvlStrCache>
            </c:multiLvlStrRef>
          </c:cat>
          <c:val>
            <c:numRef>
              <c:f xml:space="preserve">'Диаграмам 9-25'!$L$6:$R$6</c:f>
              <c:numCache>
                <c:formatCode xml:space="preserve">#\ ##0.0</c:formatCode>
                <c:ptCount val="7"/>
                <c:pt idx="0">
                  <c:v>27000</c:v>
                </c:pt>
                <c:pt idx="1">
                  <c:v>27000</c:v>
                </c:pt>
                <c:pt idx="2">
                  <c:v>27000</c:v>
                </c:pt>
                <c:pt idx="3">
                  <c:v>27000</c:v>
                </c:pt>
                <c:pt idx="4">
                  <c:v>30758.2</c:v>
                </c:pt>
                <c:pt idx="5">
                  <c:v>9617.5</c:v>
                </c:pt>
                <c:pt idx="6">
                  <c:v>7748.6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41"/>
        <c:axId val="256437081"/>
        <c:axId val="256437082"/>
      </c:barChart>
      <c:catAx>
        <c:axId val="256437081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 bwMode="auto">
          <a:prstGeom prst="rect">
            <a:avLst/>
          </a:prstGeom>
          <a:ln w="6480">
            <a:noFill/>
          </a:ln>
        </c:spPr>
        <c:txPr>
          <a:bodyPr/>
          <a:lstStyle/>
          <a:p>
            <a:pPr>
              <a:defRPr sz="800" b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56437082"/>
        <c:crosses val="autoZero"/>
        <c:auto val="1"/>
        <c:lblAlgn val="ctr"/>
        <c:lblOffset val="100"/>
        <c:noMultiLvlLbl val="0"/>
      </c:catAx>
      <c:valAx>
        <c:axId val="256437082"/>
        <c:scaling>
          <c:orientation val="minMax"/>
        </c:scaling>
        <c:delete val="1"/>
        <c:axPos val="l"/>
        <c:numFmt formatCode="#\ ##0.0" sourceLinked="1"/>
        <c:majorTickMark val="none"/>
        <c:minorTickMark val="none"/>
        <c:tickLblPos val="nextTo"/>
        <c:crossAx val="256437081"/>
        <c:crosses val="autoZero"/>
        <c:crossBetween val="between"/>
      </c:valAx>
      <c:spPr bwMode="auto">
        <a:prstGeom prst="rect">
          <a:avLst/>
        </a:prstGeom>
        <a:noFill/>
        <a:ln w="0">
          <a:noFill/>
        </a:ln>
      </c:spPr>
    </c:plotArea>
    <c:plotVisOnly val="1"/>
    <c:dispBlanksAs val="gap"/>
    <c:showDLblsOverMax val="1"/>
  </c:chart>
  <c:spPr bwMode="auto">
    <a:xfrm>
      <a:off x="0" y="0"/>
      <a:ext cx="0" cy="0"/>
    </a:xfrm>
    <a:prstGeom prst="rect">
      <a:avLst/>
    </a:prstGeom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 scaled="1"/>
    </a:gradFill>
    <a:ln w="9360">
      <a:solidFill>
        <a:srgbClr val="D9D9D9"/>
      </a:solidFill>
      <a:round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0000"/>
          <c:y val="0.000000"/>
          <c:w val="1.000000"/>
          <c:h val="0.30676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 scaled="1"/>
            </a:gradFill>
            <a:ln w="0">
              <a:noFill/>
              <a:miter/>
            </a:ln>
          </c:spPr>
          <c:invertIfNegative val="0"/>
          <c:dLbls>
            <c:dLbl>
              <c:idx val="0"/>
              <c:dLblPos val="outEnd"/>
              <c:layout>
                <c:manualLayout>
                  <c:x val="0.000000"/>
                  <c:y val="0.04032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1"/>
              <c:dLblPos val="outEnd"/>
              <c:layout>
                <c:manualLayout>
                  <c:x val="-0.002030"/>
                  <c:y val="0.04032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2"/>
              <c:dLblPos val="outEnd"/>
              <c:layout>
                <c:manualLayout>
                  <c:x val="-0.002030"/>
                  <c:y val="0.05078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3"/>
              <c:dLblPos val="outEnd"/>
              <c:layout>
                <c:manualLayout>
                  <c:x val="0.000000"/>
                  <c:y val="0.05078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Pos val="inEnd"/>
            <c:separator xml:space="preserve">; </c:separator>
            <c:showBubbleSize val="1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1" u="none" strike="noStrike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9-25'!$L$10:$R$11</c:f>
              <c:multiLvlStrCache>
                <c:ptCount val="7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  <c:pt idx="4">
                    <c:v>всего</c:v>
                  </c:pt>
                  <c:pt idx="5">
                    <c:v xml:space="preserve">в т.ч. за 
счет средств
2024 года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Фактическое выполнение </c:v>
                  </c:pt>
                  <c:pt idx="6">
                    <c:v xml:space="preserve">Дебиторская задолженность на 01.01.2026</c:v>
                  </c:pt>
                </c:lvl>
              </c:multiLvlStrCache>
            </c:multiLvlStrRef>
          </c:cat>
          <c:val>
            <c:numRef>
              <c:f xml:space="preserve">'Диаграмам 9-25'!$L$12:$R$12</c:f>
              <c:numCache>
                <c:formatCode xml:space="preserve">#\ ##0.0</c:formatCode>
                <c:ptCount val="7"/>
                <c:pt idx="0">
                  <c:v>30303.1</c:v>
                </c:pt>
                <c:pt idx="1">
                  <c:v>30303.1</c:v>
                </c:pt>
                <c:pt idx="2">
                  <c:v>30303.1</c:v>
                </c:pt>
                <c:pt idx="3">
                  <c:v>30303.1</c:v>
                </c:pt>
                <c:pt idx="4">
                  <c:v>0</c:v>
                </c:pt>
                <c:pt idx="5">
                  <c:v>0</c:v>
                </c:pt>
                <c:pt idx="6">
                  <c:v>60915.4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41"/>
        <c:axId val="256437083"/>
        <c:axId val="256437084"/>
      </c:barChart>
      <c:catAx>
        <c:axId val="256437083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 bwMode="auto">
          <a:prstGeom prst="rect">
            <a:avLst/>
          </a:prstGeom>
          <a:ln w="6480">
            <a:noFill/>
          </a:ln>
        </c:spPr>
        <c:txPr>
          <a:bodyPr/>
          <a:lstStyle/>
          <a:p>
            <a:pPr>
              <a:defRPr sz="800" b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56437084"/>
        <c:crosses val="autoZero"/>
        <c:auto val="1"/>
        <c:lblAlgn val="ctr"/>
        <c:lblOffset val="100"/>
        <c:noMultiLvlLbl val="0"/>
      </c:catAx>
      <c:valAx>
        <c:axId val="256437084"/>
        <c:scaling>
          <c:orientation val="minMax"/>
        </c:scaling>
        <c:delete val="1"/>
        <c:axPos val="l"/>
        <c:numFmt formatCode="#\ ##0.0" sourceLinked="1"/>
        <c:majorTickMark val="none"/>
        <c:minorTickMark val="none"/>
        <c:tickLblPos val="nextTo"/>
        <c:crossAx val="256437083"/>
        <c:crosses val="autoZero"/>
        <c:crossBetween val="between"/>
      </c:valAx>
      <c:spPr bwMode="auto">
        <a:prstGeom prst="rect">
          <a:avLst/>
        </a:prstGeom>
        <a:noFill/>
        <a:ln w="0">
          <a:noFill/>
        </a:ln>
      </c:spPr>
    </c:plotArea>
    <c:plotVisOnly val="1"/>
    <c:dispBlanksAs val="gap"/>
    <c:showDLblsOverMax val="1"/>
  </c:chart>
  <c:spPr bwMode="auto">
    <a:xfrm>
      <a:off x="0" y="0"/>
      <a:ext cx="0" cy="0"/>
    </a:xfrm>
    <a:prstGeom prst="rect">
      <a:avLst/>
    </a:prstGeom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 scaled="1"/>
    </a:gradFill>
    <a:ln w="9360">
      <a:solidFill>
        <a:srgbClr val="D9D9D9"/>
      </a:solidFill>
      <a:round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0000"/>
          <c:y val="0.004110"/>
          <c:w val="0.998580"/>
          <c:h val="0.23428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 scaled="1"/>
            </a:gradFill>
            <a:ln w="0">
              <a:noFill/>
            </a:ln>
          </c:spPr>
          <c:invertIfNegative val="0"/>
          <c:dLbls>
            <c:dLbl>
              <c:idx val="0"/>
              <c:dLblPos val="outEnd"/>
              <c:layout>
                <c:manualLayout>
                  <c:x val="-0.004090"/>
                  <c:y val="0.01341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1"/>
              <c:dLblPos val="outEnd"/>
              <c:layout>
                <c:manualLayout>
                  <c:x val="0.000000"/>
                  <c:y val="0.02301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2"/>
              <c:dLblPos val="outEnd"/>
              <c:layout>
                <c:manualLayout>
                  <c:x val="0.000000"/>
                  <c:y val="0.02301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3"/>
              <c:dLblPos val="outEnd"/>
              <c:layout>
                <c:manualLayout>
                  <c:x val="0.002040"/>
                  <c:y val="0.01341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4"/>
              <c:dLblPos val="outEnd"/>
              <c:layout>
                <c:manualLayout>
                  <c:x val="0.004270"/>
                  <c:y val="0.07729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5"/>
              <c:dLblPos val="outEnd"/>
              <c:layout>
                <c:manualLayout>
                  <c:x val="-0.004270"/>
                  <c:y val="0.07729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>
              <c:idx val="6"/>
              <c:dLblPos val="outEnd"/>
              <c:layout>
                <c:manualLayout>
                  <c:x val="0.004270"/>
                  <c:y val="0.07729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Pos val="inEnd"/>
            <c:separator xml:space="preserve">; </c:separator>
            <c:showBubbleSize val="1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1" u="none" strike="noStrike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9-25'!$L$28:$R$29</c:f>
              <c:multiLvlStrCache>
                <c:ptCount val="7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  <c:pt idx="4">
                    <c:v>всего</c:v>
                  </c:pt>
                  <c:pt idx="5">
                    <c:v xml:space="preserve">в т.ч. за 
счет средств
2021-2024 годов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Фактическое выполнение </c:v>
                  </c:pt>
                  <c:pt idx="6">
                    <c:v xml:space="preserve">Дебиторская задолженность на 01.01.2026</c:v>
                  </c:pt>
                </c:lvl>
              </c:multiLvlStrCache>
            </c:multiLvlStrRef>
          </c:cat>
          <c:val>
            <c:numRef>
              <c:f xml:space="preserve">'Диаграмам 9-25'!$L$30:$R$30</c:f>
              <c:numCache>
                <c:formatCode xml:space="preserve">#\ ##0.0</c:formatCode>
                <c:ptCount val="7"/>
                <c:pt idx="0">
                  <c:v>4429.9</c:v>
                </c:pt>
                <c:pt idx="1">
                  <c:v>4429.9</c:v>
                </c:pt>
                <c:pt idx="2">
                  <c:v>4429.9</c:v>
                </c:pt>
                <c:pt idx="3">
                  <c:v>4429.9</c:v>
                </c:pt>
                <c:pt idx="4">
                  <c:v>21011</c:v>
                </c:pt>
                <c:pt idx="5">
                  <c:v>18468.2</c:v>
                </c:pt>
                <c:pt idx="6">
                  <c:v>17164.7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41"/>
        <c:axId val="256437085"/>
        <c:axId val="256437086"/>
      </c:barChart>
      <c:catAx>
        <c:axId val="256437085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 bwMode="auto">
          <a:prstGeom prst="rect">
            <a:avLst/>
          </a:prstGeom>
          <a:ln w="6480">
            <a:noFill/>
          </a:ln>
        </c:spPr>
        <c:txPr>
          <a:bodyPr/>
          <a:lstStyle/>
          <a:p>
            <a:pPr>
              <a:defRPr sz="800" b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56437086"/>
        <c:crosses val="autoZero"/>
        <c:auto val="1"/>
        <c:lblAlgn val="ctr"/>
        <c:lblOffset val="100"/>
        <c:noMultiLvlLbl val="0"/>
      </c:catAx>
      <c:valAx>
        <c:axId val="256437086"/>
        <c:scaling>
          <c:orientation val="minMax"/>
        </c:scaling>
        <c:delete val="1"/>
        <c:axPos val="l"/>
        <c:numFmt formatCode="#\ ##0.0" sourceLinked="1"/>
        <c:majorTickMark val="none"/>
        <c:minorTickMark val="none"/>
        <c:tickLblPos val="nextTo"/>
        <c:crossAx val="256437085"/>
        <c:crosses val="autoZero"/>
        <c:crossBetween val="between"/>
      </c:valAx>
      <c:spPr bwMode="auto">
        <a:prstGeom prst="rect">
          <a:avLst/>
        </a:prstGeom>
        <a:noFill/>
        <a:ln w="0">
          <a:noFill/>
        </a:ln>
      </c:spPr>
    </c:plotArea>
    <c:plotVisOnly val="1"/>
    <c:dispBlanksAs val="gap"/>
    <c:showDLblsOverMax val="1"/>
  </c:chart>
  <c:spPr bwMode="auto">
    <a:xfrm>
      <a:off x="0" y="0"/>
      <a:ext cx="0" cy="0"/>
    </a:xfrm>
    <a:prstGeom prst="rect">
      <a:avLst/>
    </a:prstGeom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 scaled="1"/>
    </a:gradFill>
    <a:ln w="9360">
      <a:solidFill>
        <a:srgbClr val="D9D9D9"/>
      </a:solidFill>
      <a:round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0000"/>
          <c:y val="0.003020"/>
          <c:w val="0.999210"/>
          <c:h val="0.23821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 scaled="1"/>
            </a:gradFill>
            <a:ln w="0">
              <a:noFill/>
              <a:miter/>
            </a:ln>
          </c:spPr>
          <c:invertIfNegative val="0"/>
          <c:dLbls>
            <c:dLblPos val="inEnd"/>
            <c:separator xml:space="preserve">; </c:separator>
            <c:showBubbleSize val="1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  <a:round/>
              </a:ln>
              <a:effectLst/>
            </c:spPr>
            <c:txPr>
              <a:bodyPr wrap="square"/>
              <a:lstStyle/>
              <a:p>
                <a:pPr>
                  <a:defRPr sz="1000" b="1" u="none" strike="noStrike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9-25'!$L$49:$R$50</c:f>
              <c:multiLvlStrCache>
                <c:ptCount val="7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  <c:pt idx="4">
                    <c:v>всего</c:v>
                  </c:pt>
                  <c:pt idx="5">
                    <c:v xml:space="preserve">в т.ч. за 
счет средств
2021-2024 годов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Фактическое выполнение </c:v>
                  </c:pt>
                  <c:pt idx="6">
                    <c:v xml:space="preserve">Просроченная дебиторская задолженность 
на 01.01.2026</c:v>
                  </c:pt>
                </c:lvl>
              </c:multiLvlStrCache>
            </c:multiLvlStrRef>
          </c:cat>
          <c:val>
            <c:numRef>
              <c:f xml:space="preserve">'Диаграмам 9-25'!$L$51:$R$51</c:f>
              <c:numCache>
                <c:formatCode xml:space="preserve">#\ ##0.0</c:formatCode>
                <c:ptCount val="7"/>
                <c:pt idx="0">
                  <c:v>462784.55</c:v>
                </c:pt>
                <c:pt idx="1">
                  <c:v>456942.35762</c:v>
                </c:pt>
                <c:pt idx="2">
                  <c:v>474910.80000000005</c:v>
                </c:pt>
                <c:pt idx="3">
                  <c:v>470649.07006</c:v>
                </c:pt>
                <c:pt idx="4">
                  <c:v>512244.57826</c:v>
                </c:pt>
                <c:pt idx="5">
                  <c:v>41595.5082</c:v>
                </c:pt>
                <c:pt idx="6">
                  <c:v>443203.9232600006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41"/>
        <c:axId val="256437087"/>
        <c:axId val="256437088"/>
      </c:barChart>
      <c:catAx>
        <c:axId val="25643708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 bwMode="auto">
          <a:prstGeom prst="rect">
            <a:avLst/>
          </a:prstGeom>
          <a:ln w="6480">
            <a:noFill/>
          </a:ln>
        </c:spPr>
        <c:txPr>
          <a:bodyPr/>
          <a:lstStyle/>
          <a:p>
            <a:pPr>
              <a:defRPr sz="800" b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56437088"/>
        <c:crosses val="autoZero"/>
        <c:auto val="1"/>
        <c:lblAlgn val="ctr"/>
        <c:lblOffset val="100"/>
        <c:noMultiLvlLbl val="0"/>
      </c:catAx>
      <c:valAx>
        <c:axId val="256437088"/>
        <c:scaling>
          <c:orientation val="minMax"/>
        </c:scaling>
        <c:delete val="1"/>
        <c:axPos val="l"/>
        <c:numFmt formatCode="#\ ##0.0" sourceLinked="1"/>
        <c:majorTickMark val="none"/>
        <c:minorTickMark val="none"/>
        <c:tickLblPos val="nextTo"/>
        <c:crossAx val="256437087"/>
        <c:crosses val="autoZero"/>
        <c:crossBetween val="between"/>
      </c:valAx>
      <c:spPr bwMode="auto">
        <a:prstGeom prst="rect">
          <a:avLst/>
        </a:prstGeom>
        <a:noFill/>
        <a:ln w="0">
          <a:noFill/>
        </a:ln>
      </c:spPr>
    </c:plotArea>
    <c:plotVisOnly val="1"/>
    <c:dispBlanksAs val="gap"/>
    <c:showDLblsOverMax val="1"/>
  </c:chart>
  <c:spPr bwMode="auto">
    <a:xfrm>
      <a:off x="0" y="0"/>
      <a:ext cx="5943600" cy="1139948"/>
    </a:xfrm>
    <a:prstGeom prst="rect">
      <a:avLst/>
    </a:prstGeom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 scaled="1"/>
    </a:gradFill>
    <a:ln w="9360">
      <a:solidFill>
        <a:srgbClr val="D9D9D9"/>
      </a:solidFill>
      <a:round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01550"/>
          <c:y val="0.000770"/>
          <c:w val="0.994220"/>
          <c:h val="0.313790"/>
        </c:manualLayout>
      </c:layout>
      <c:bar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 scaled="1"/>
            </a:gradFill>
            <a:ln w="0">
              <a:noFill/>
            </a:ln>
          </c:spPr>
          <c:invertIfNegative val="0"/>
          <c:dPt>
            <c:idx val="5"/>
            <c:invertIfNegative val="0"/>
            <c:bubble3D val="0"/>
          </c:dPt>
          <c:dLbls>
            <c:dLbl>
              <c:idx val="5"/>
              <c:dLblPos val="outEnd"/>
              <c:layout>
                <c:manualLayout>
                  <c:x val="0.002090"/>
                  <c:y val="-0.00723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  <c:spPr bwMode="auto"/>
              <c:txPr>
                <a:bodyPr wrap="square"/>
                <a:lstStyle/>
                <a:p>
                  <a:pPr>
                    <a:defRPr sz="1000" b="1" u="none" strike="noStrike">
                      <a:solidFill>
                        <a:srgbClr val="000000"/>
                      </a:solidFill>
                      <a:latin typeface="Times New Roman"/>
                    </a:defRPr>
                  </a:pPr>
                  <a:endParaRPr lang="ru-RU"/>
                </a:p>
              </c:txPr>
            </c:dLbl>
            <c:dLbl>
              <c:idx val="6"/>
              <c:dLblPos val="outEnd"/>
              <c:layout>
                <c:manualLayout>
                  <c:x val="0.000000"/>
                  <c:y val="0.038390"/>
                </c:manualLayout>
              </c:layout>
              <c:separator xml:space="preserve">; </c:separator>
              <c:showBubbleSize val="1"/>
              <c:showCatName val="0"/>
              <c:showLegendKey val="0"/>
              <c:showPercent val="0"/>
              <c:showSerName val="0"/>
              <c:showVal val="1"/>
            </c:dLbl>
            <c:dLblPos val="inEnd"/>
            <c:separator xml:space="preserve">; </c:separator>
            <c:showBubbleSize val="1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1" u="none" strike="noStrike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</c:dLbls>
          <c:cat>
            <c:multiLvlStrRef>
              <c:f xml:space="preserve">'Диаграмам 9-25'!$L$16:$R$17</c:f>
              <c:multiLvlStrCache>
                <c:ptCount val="7"/>
                <c:lvl>
                  <c:pt idx="0">
                    <c:v xml:space="preserve">утверждено паспортами РП</c:v>
                  </c:pt>
                  <c:pt idx="1">
                    <c:v>исполнено</c:v>
                  </c:pt>
                  <c:pt idx="2">
                    <c:v xml:space="preserve">утверждено
СБР</c:v>
                  </c:pt>
                  <c:pt idx="3">
                    <c:v xml:space="preserve">кассовое исполнение</c:v>
                  </c:pt>
                  <c:pt idx="4">
                    <c:v>всего</c:v>
                  </c:pt>
                  <c:pt idx="5">
                    <c:v xml:space="preserve">в т.ч. за 
счет средств
2023 года</c:v>
                  </c:pt>
                </c:lvl>
                <c:lvl>
                  <c:pt idx="0">
                    <c:v xml:space="preserve">Отчеты о ходе реализации РП</c:v>
                  </c:pt>
                  <c:pt idx="2">
                    <c:v xml:space="preserve">Отчет об исполнении бюджета</c:v>
                  </c:pt>
                  <c:pt idx="4">
                    <c:v xml:space="preserve">Фактическое выполнение </c:v>
                  </c:pt>
                  <c:pt idx="6">
                    <c:v xml:space="preserve">Дебиторская задолженность 
на 01.01.2026</c:v>
                  </c:pt>
                </c:lvl>
              </c:multiLvlStrCache>
            </c:multiLvlStrRef>
          </c:cat>
          <c:val>
            <c:numRef>
              <c:f xml:space="preserve">'Диаграмам 9-25'!$L$18:$R$18</c:f>
              <c:numCache>
                <c:formatCode xml:space="preserve">#\ ##0.0_ ;\-#\ ##0.0\ </c:formatCode>
                <c:ptCount val="7"/>
                <c:pt idx="0">
                  <c:v>558509.61</c:v>
                </c:pt>
                <c:pt idx="1">
                  <c:v>507351.58908</c:v>
                </c:pt>
                <c:pt idx="2">
                  <c:v>558490.4</c:v>
                </c:pt>
                <c:pt idx="3">
                  <c:v>507351.58908</c:v>
                </c:pt>
                <c:pt idx="4">
                  <c:v>503420.16834</c:v>
                </c:pt>
                <c:pt idx="5">
                  <c:v>101182.83009000002</c:v>
                </c:pt>
                <c:pt idx="6" formatCode="#\ ##0.0">
                  <c:v>180894.5946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41"/>
        <c:axId val="256437089"/>
        <c:axId val="256437090"/>
      </c:barChart>
      <c:catAx>
        <c:axId val="25643708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 bwMode="auto">
          <a:prstGeom prst="rect">
            <a:avLst/>
          </a:prstGeom>
          <a:ln w="6480">
            <a:noFill/>
          </a:ln>
        </c:spPr>
        <c:txPr>
          <a:bodyPr/>
          <a:lstStyle/>
          <a:p>
            <a:pPr>
              <a:defRPr sz="900" b="0" u="none" strike="noStrike">
                <a:solidFill>
                  <a:srgbClr val="595959"/>
                </a:solidFill>
                <a:latin typeface="Times New Roman"/>
              </a:defRPr>
            </a:pPr>
            <a:endParaRPr lang="ru-RU"/>
          </a:p>
        </c:txPr>
        <c:crossAx val="256437090"/>
        <c:crosses val="autoZero"/>
        <c:auto val="1"/>
        <c:lblAlgn val="ctr"/>
        <c:lblOffset val="100"/>
        <c:noMultiLvlLbl val="0"/>
      </c:catAx>
      <c:valAx>
        <c:axId val="256437090"/>
        <c:scaling>
          <c:orientation val="minMax"/>
        </c:scaling>
        <c:delete val="1"/>
        <c:axPos val="l"/>
        <c:numFmt formatCode="#\ ##0.0_ ;\-#\ ##0.0\ " sourceLinked="1"/>
        <c:majorTickMark val="none"/>
        <c:minorTickMark val="none"/>
        <c:tickLblPos val="nextTo"/>
        <c:crossAx val="256437089"/>
        <c:crosses val="autoZero"/>
        <c:crossBetween val="between"/>
      </c:valAx>
      <c:spPr bwMode="auto">
        <a:prstGeom prst="rect">
          <a:avLst/>
        </a:prstGeom>
        <a:noFill/>
        <a:ln w="0">
          <a:noFill/>
        </a:ln>
      </c:spPr>
    </c:plotArea>
    <c:plotVisOnly val="1"/>
    <c:dispBlanksAs val="gap"/>
    <c:showDLblsOverMax val="1"/>
  </c:chart>
  <c:spPr bwMode="auto">
    <a:xfrm>
      <a:off x="0" y="0"/>
      <a:ext cx="0" cy="0"/>
    </a:xfrm>
    <a:prstGeom prst="rect">
      <a:avLst/>
    </a:prstGeom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 scaled="1"/>
    </a:gradFill>
    <a:ln w="9360">
      <a:solidFill>
        <a:srgbClr val="D9D9D9"/>
      </a:solidFill>
      <a:round/>
    </a:ln>
  </c:spPr>
  <c:externalData r:id="rId1">
    <c:autoUpdate val="0"/>
  </c:externalData>
</c:chartSpace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40EE3-9103-4881-92B3-02A4250F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Кочеткова</dc:creator>
  <cp:lastModifiedBy>user4.3</cp:lastModifiedBy>
  <cp:revision>18</cp:revision>
  <dcterms:created xsi:type="dcterms:W3CDTF">2026-04-07T04:16:00Z</dcterms:created>
  <dcterms:modified xsi:type="dcterms:W3CDTF">2026-07-06T23:31:29Z</dcterms:modified>
</cp:coreProperties>
</file>