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6"/>
        <w:jc w:val="right"/>
      </w:pPr>
      <w:r/>
      <w:r/>
    </w:p>
    <w:p>
      <w:pPr>
        <w:pStyle w:val="886"/>
        <w:jc w:val="right"/>
      </w:pPr>
      <w:r/>
      <w:r/>
    </w:p>
    <w:p>
      <w:pPr>
        <w:pStyle w:val="886"/>
        <w:jc w:val="right"/>
      </w:pPr>
      <w:r>
        <w:t xml:space="preserve">УТВЕРЖДЕН</w:t>
      </w:r>
      <w:r/>
    </w:p>
    <w:p>
      <w:pPr>
        <w:pStyle w:val="886"/>
        <w:jc w:val="right"/>
      </w:pPr>
      <w:r>
        <w:t xml:space="preserve">решением Коллегии Счетной палаты</w:t>
      </w:r>
      <w:r/>
    </w:p>
    <w:p>
      <w:pPr>
        <w:pStyle w:val="886"/>
        <w:jc w:val="right"/>
      </w:pPr>
      <w:r>
        <w:t xml:space="preserve">Чукотского автономного округа</w:t>
      </w:r>
      <w:r/>
    </w:p>
    <w:p>
      <w:pPr>
        <w:pStyle w:val="886"/>
        <w:jc w:val="right"/>
      </w:pPr>
      <w:r>
        <w:t xml:space="preserve">  (протокол от 26 декабря 2025 года №31)</w:t>
      </w:r>
      <w:r/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П Л А Н</w:t>
      </w:r>
      <w:r>
        <w:rPr>
          <w:b/>
          <w:sz w:val="32"/>
          <w:szCs w:val="32"/>
        </w:rPr>
      </w:r>
      <w:r>
        <w:rPr>
          <w:b/>
          <w:sz w:val="32"/>
          <w:szCs w:val="32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работы Счетной палаты Чукотского автономного округа на 2026 год</w:t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p>
      <w:pPr>
        <w:jc w:val="center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 xml:space="preserve">(в редакции от 13.02.2026 протокол №</w:t>
      </w:r>
      <w:r>
        <w:rPr>
          <w:bCs/>
          <w:color w:val="000000" w:themeColor="text1"/>
          <w:sz w:val="22"/>
          <w:szCs w:val="22"/>
        </w:rPr>
        <w:t xml:space="preserve"> </w:t>
      </w:r>
      <w:r>
        <w:rPr>
          <w:bCs/>
          <w:color w:val="000000" w:themeColor="text1"/>
          <w:sz w:val="22"/>
          <w:szCs w:val="22"/>
        </w:rPr>
        <w:t xml:space="preserve">2, от 27.03.2026 протокол №</w:t>
      </w:r>
      <w:r>
        <w:rPr>
          <w:bCs/>
          <w:color w:val="000000" w:themeColor="text1"/>
          <w:sz w:val="22"/>
          <w:szCs w:val="22"/>
        </w:rPr>
        <w:t xml:space="preserve"> </w:t>
      </w:r>
      <w:r>
        <w:rPr>
          <w:bCs/>
          <w:color w:val="000000" w:themeColor="text1"/>
          <w:sz w:val="22"/>
          <w:szCs w:val="22"/>
        </w:rPr>
        <w:t xml:space="preserve">4</w:t>
      </w:r>
      <w:r>
        <w:rPr>
          <w:bCs/>
          <w:color w:val="000000" w:themeColor="text1"/>
          <w:sz w:val="22"/>
          <w:szCs w:val="22"/>
        </w:rPr>
        <w:t xml:space="preserve">, </w:t>
      </w:r>
      <w:r>
        <w:rPr>
          <w:bCs/>
          <w:color w:val="000000" w:themeColor="text1"/>
          <w:sz w:val="22"/>
          <w:szCs w:val="22"/>
        </w:rPr>
        <w:t xml:space="preserve">от 28.04.2026 № 6</w:t>
      </w:r>
      <w:r>
        <w:rPr>
          <w:bCs/>
          <w:color w:val="000000" w:themeColor="text1"/>
          <w:sz w:val="22"/>
          <w:szCs w:val="22"/>
        </w:rPr>
        <w:t xml:space="preserve">, от 16.06.2026 №10</w:t>
      </w:r>
      <w:r>
        <w:rPr>
          <w:bCs/>
          <w:color w:val="000000" w:themeColor="text1"/>
          <w:sz w:val="22"/>
          <w:szCs w:val="22"/>
        </w:rPr>
        <w:t xml:space="preserve">, от 29.06.2026 № 11</w:t>
      </w:r>
      <w:r>
        <w:rPr>
          <w:bCs/>
          <w:color w:val="000000" w:themeColor="text1"/>
          <w:sz w:val="22"/>
          <w:szCs w:val="22"/>
        </w:rPr>
        <w:t xml:space="preserve">)</w:t>
      </w:r>
      <w:r>
        <w:rPr>
          <w:bCs/>
          <w:color w:val="000000" w:themeColor="text1"/>
          <w:sz w:val="22"/>
          <w:szCs w:val="22"/>
        </w:rPr>
      </w:r>
      <w:r>
        <w:rPr>
          <w:bCs/>
          <w:color w:val="000000" w:themeColor="text1"/>
          <w:sz w:val="22"/>
          <w:szCs w:val="22"/>
        </w:rPr>
      </w:r>
    </w:p>
    <w:p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  <w:r>
        <w:rPr>
          <w:b/>
          <w:bCs/>
          <w:sz w:val="32"/>
          <w:szCs w:val="32"/>
        </w:rPr>
      </w:r>
    </w:p>
    <w:tbl>
      <w:tblPr>
        <w:tblW w:w="15451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10632"/>
        <w:gridCol w:w="1984"/>
        <w:gridCol w:w="1984"/>
      </w:tblGrid>
      <w:tr>
        <w:tblPrEx/>
        <w:trPr>
          <w:trHeight w:val="667"/>
          <w:tblHeader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</w:rPr>
            </w:pPr>
            <w:r>
              <w:rPr>
                <w:bCs/>
              </w:rPr>
              <w:t xml:space="preserve">№</w:t>
            </w:r>
            <w:r>
              <w:rPr>
                <w:bCs/>
              </w:rPr>
            </w:r>
            <w:r>
              <w:rPr>
                <w:bCs/>
              </w:rPr>
            </w:r>
          </w:p>
          <w:p>
            <w:pPr>
              <w:jc w:val="center"/>
              <w:spacing w:line="216" w:lineRule="auto"/>
            </w:pPr>
            <w:r>
              <w:rPr>
                <w:bCs/>
              </w:rPr>
              <w:t xml:space="preserve">п/п</w:t>
            </w:r>
            <w:r/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Наименование </w:t>
            </w:r>
            <w:r>
              <w:rPr>
                <w:b w:val="0"/>
              </w:rPr>
              <w:br/>
              <w:t xml:space="preserve">мероприятия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Ответственные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pStyle w:val="711"/>
              <w:ind w:left="-108" w:right="-108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за проведение мероприятия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Срок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  <w:p>
            <w:pPr>
              <w:jc w:val="center"/>
              <w:spacing w:line="216" w:lineRule="auto"/>
              <w:rPr>
                <w:bCs/>
              </w:rPr>
            </w:pPr>
            <w:r>
              <w:rPr>
                <w:bCs/>
              </w:rPr>
              <w:t xml:space="preserve">проведения</w:t>
            </w:r>
            <w:r>
              <w:rPr>
                <w:bCs/>
              </w:rPr>
            </w:r>
            <w:r>
              <w:rPr>
                <w:bCs/>
              </w:rPr>
            </w:r>
          </w:p>
        </w:tc>
      </w:tr>
      <w:tr>
        <w:tblPrEx/>
        <w:trPr>
          <w:trHeight w:val="179"/>
          <w:tblHeader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</w:rPr>
            </w:pPr>
            <w:r>
              <w:rPr>
                <w:bCs/>
              </w:rPr>
              <w:t xml:space="preserve">1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2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3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711"/>
              <w:jc w:val="center"/>
              <w:spacing w:line="216" w:lineRule="auto"/>
              <w:rPr>
                <w:b w:val="0"/>
              </w:rPr>
            </w:pPr>
            <w:r>
              <w:rPr>
                <w:b w:val="0"/>
              </w:rPr>
              <w:t xml:space="preserve">4</w:t>
            </w:r>
            <w:r>
              <w:rPr>
                <w:b w:val="0"/>
              </w:rPr>
            </w:r>
            <w:r>
              <w:rPr>
                <w:b w:val="0"/>
              </w:rPr>
            </w:r>
          </w:p>
        </w:tc>
      </w:tr>
      <w:tr>
        <w:tblPrEx/>
        <w:trPr>
          <w:trHeight w:val="441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51" w:type="dxa"/>
            <w:vAlign w:val="center"/>
            <w:textDirection w:val="lrTb"/>
            <w:noWrap w:val="false"/>
          </w:tcPr>
          <w:p>
            <w:pPr>
              <w:jc w:val="center"/>
              <w:spacing w:line="18" w:lineRule="atLeast"/>
              <w:rPr>
                <w:sz w:val="22"/>
                <w:szCs w:val="22"/>
              </w:rPr>
            </w:pPr>
            <w:r>
              <w:rPr>
                <w:b/>
                <w:bCs/>
                <w:sz w:val="28"/>
                <w:szCs w:val="28"/>
              </w:rPr>
              <w:t xml:space="preserve">1. Контрольная деятельность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37"/>
        </w:trPr>
        <w:tc>
          <w:tcPr>
            <w:tcBorders>
              <w:top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</w:rPr>
            </w:pPr>
            <w:r>
              <w:rPr>
                <w:bCs/>
              </w:rPr>
              <w:t xml:space="preserve">Внешняя проверка бюджетной отчетности главных администраторов средств окружного бюджета за 2025 год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Бондаренко И.В.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I-II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04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bCs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межбюджетного трансферт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предоставленного из окружного бюджета на проведение ремонтных работ в муниципальных учреждениях физической культуры и спорта в рамках реализации Государственной программы «Развитие физической культуры и спорта Чукотского автономного округа» в 2025 году 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Бондаренко И.В.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 квартал </w:t>
            </w:r>
            <w:r>
              <w:rPr>
                <w:sz w:val="22"/>
                <w:szCs w:val="22"/>
              </w:rPr>
              <w:br/>
              <w:t xml:space="preserve">2025 года – I квартал </w:t>
            </w:r>
            <w:r>
              <w:rPr>
                <w:sz w:val="22"/>
                <w:szCs w:val="22"/>
              </w:rPr>
              <w:br/>
              <w:t xml:space="preserve">2026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6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spacing w:line="21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средств окружного бюджета, направленных на реализацию комплекса процессных мероприятий «Создание комфортных условий проживания для всех категорий граждан» в 2025 году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Тодавчич О.М.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I-I</w:t>
            </w:r>
            <w:r>
              <w:rPr>
                <w:sz w:val="22"/>
                <w:szCs w:val="22"/>
                <w:lang w:val="en-US"/>
              </w:rPr>
              <w:t xml:space="preserve">I</w:t>
            </w:r>
            <w:r>
              <w:rPr>
                <w:sz w:val="22"/>
                <w:szCs w:val="22"/>
              </w:rPr>
              <w:t xml:space="preserve">I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(в редакции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06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.2026 протокол №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 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10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59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1.4.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jc w:val="both"/>
              <w:spacing w:line="216" w:lineRule="auto"/>
              <w:rPr>
                <w:bCs/>
              </w:rPr>
            </w:pPr>
            <w:r>
              <w:t xml:space="preserve">Проверка использования средств окружного бюджета, предоставленных </w:t>
            </w:r>
            <w:r>
              <w:rPr>
                <w:bCs/>
              </w:rPr>
              <w:t xml:space="preserve">Государственному авт</w:t>
            </w:r>
            <w:r>
              <w:rPr>
                <w:bCs/>
              </w:rPr>
              <w:t xml:space="preserve">ономному учреждению Чукотского автономного округа «Издательство «Крайний Север» на финансовое обеспечение выполнения государственного задания, в рамках реализации Государственной программы «Информационное общество Чукотского автономного округа» в 2025 году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Бондаренко И.В.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10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1.5.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бюджетных средств, направленных на реализацию комплекса процессных мероприятий «Поддержка, сохранение и развитие родных языков» Государственной программы «Развитие образования и науки Чукотского автономного округа» в 2025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Шадрина Л.П.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I-II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(в редакции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от 27.03.2026 протокол № 4)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0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1.6.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бюджетных средств, направленных на реализацию комплекс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процессных мероприятий «Реконструкция, капитальный ремонт автомобильных дорог общего пользования регионального значения и сооружений на них» Государственной программы «Развитие транспортной инфраструктуры Чукотского автономного округа» в 2024-2025 годах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i/>
                <w:sz w:val="6"/>
                <w:szCs w:val="6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i/>
                <w:sz w:val="6"/>
                <w:szCs w:val="6"/>
                <w:highlight w:val="yellow"/>
              </w:rPr>
            </w:r>
            <w:r>
              <w:rPr>
                <w:rFonts w:ascii="Times New Roman" w:hAnsi="Times New Roman" w:cs="Times New Roman"/>
                <w:bCs/>
                <w:i/>
                <w:sz w:val="6"/>
                <w:szCs w:val="6"/>
                <w:highlight w:val="yellow"/>
              </w:rPr>
            </w:r>
            <w:r>
              <w:rPr>
                <w:rFonts w:ascii="Times New Roman" w:hAnsi="Times New Roman" w:cs="Times New Roman"/>
                <w:bCs/>
                <w:i/>
                <w:sz w:val="6"/>
                <w:szCs w:val="6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Тодавчич О.М.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III</w:t>
            </w:r>
            <w:r>
              <w:rPr>
                <w:sz w:val="22"/>
                <w:szCs w:val="22"/>
              </w:rPr>
              <w:t xml:space="preserve">-I</w:t>
            </w:r>
            <w:r>
              <w:rPr>
                <w:sz w:val="22"/>
                <w:szCs w:val="22"/>
                <w:lang w:val="en-US"/>
              </w:rPr>
              <w:t xml:space="preserve">V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  <w:t xml:space="preserve">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(в редакции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от 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16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.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06</w:t>
            </w: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.2026 протокол № 10)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  <w:tr>
        <w:tblPrEx/>
        <w:trPr>
          <w:trHeight w:val="1112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1.7.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средств окр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ужного бюджета, направленных на реализацию мероприятия «Оказание поддержки на развитие индивидуального жилищного строительства» в рамках реализации Государственной программы «Развитие жилищного строительства в Чукотском автономном округе» в 2024-2025 годах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Тодавчич О.М.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II-</w:t>
            </w:r>
            <w:r>
              <w:rPr>
                <w:sz w:val="22"/>
                <w:szCs w:val="22"/>
                <w:lang w:val="en-US"/>
              </w:rPr>
              <w:t xml:space="preserve">III</w:t>
            </w:r>
            <w:r>
              <w:rPr>
                <w:sz w:val="22"/>
                <w:szCs w:val="22"/>
              </w:rPr>
              <w:t xml:space="preserve"> кварталы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814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1.8.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межбюджетных трансфертов, предоставленных из окружного бюджета бюджету Билибинского муниципального района в 2025 году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bCs/>
              </w:rPr>
              <w:t xml:space="preserve">Бондаренко И.В.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  <w:lang w:val="en-US"/>
              </w:rPr>
              <w:t xml:space="preserve">III</w:t>
            </w:r>
            <w:r>
              <w:rPr>
                <w:sz w:val="22"/>
                <w:szCs w:val="22"/>
              </w:rPr>
              <w:t xml:space="preserve">-I</w:t>
            </w:r>
            <w:r>
              <w:rPr>
                <w:sz w:val="22"/>
                <w:szCs w:val="22"/>
                <w:lang w:val="en-US"/>
              </w:rPr>
              <w:t xml:space="preserve">V</w:t>
            </w:r>
            <w:r>
              <w:rPr>
                <w:sz w:val="22"/>
                <w:szCs w:val="22"/>
              </w:rPr>
              <w:t xml:space="preserve"> кварталы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120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1.9.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бюджетных средств, направленных на строительство объекта «Спортивный зал в с. Лаврентия» в 2024-2025 годах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bCs/>
                <w:i/>
                <w:strike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highlight w:val="none"/>
              </w:rPr>
              <w:t xml:space="preserve">(в редакции</w:t>
            </w:r>
            <w:r>
              <w:rPr>
                <w:i/>
                <w:iCs/>
                <w:sz w:val="24"/>
                <w:szCs w:val="24"/>
                <w:highlight w:val="none"/>
              </w:rPr>
              <w:t xml:space="preserve"> от 29.06.2026 протокол № 11)</w:t>
            </w:r>
            <w:r>
              <w:rPr>
                <w:bCs/>
                <w:i/>
                <w:strike/>
                <w:sz w:val="24"/>
                <w:szCs w:val="24"/>
              </w:rPr>
            </w:r>
            <w:r>
              <w:rPr>
                <w:bCs/>
                <w:i/>
                <w:strike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none"/>
              </w:rPr>
            </w:r>
            <w:r>
              <w:rPr>
                <w:bCs/>
                <w:i/>
                <w:strike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Шадрина Л.П.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III-IV кварталы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76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1.10.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бюджетных средств, направленных на реализацию регионального проекта «Модернизация коммунальной инфраструктуры» за 2025 год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Тодавчич О.М.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IV квартал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60"/>
        </w:trPr>
        <w:tc>
          <w:tcPr>
            <w:tcBorders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1.11.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использования средств окружного бюджета, предоставленных Некоммерческой организации «Фонд развития экономики и прямых инвестиций Чукотского автономного округа» в 2026 году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r>
          </w:p>
        </w:tc>
        <w:tc>
          <w:tcPr>
            <w:tcBorders>
              <w:bottom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bCs/>
              </w:rPr>
              <w:t xml:space="preserve">Бондаренко И.В.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  <w:tc>
          <w:tcPr>
            <w:tcBorders>
              <w:bottom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IV квартал </w:t>
            </w:r>
            <w:r>
              <w:rPr>
                <w:sz w:val="22"/>
                <w:szCs w:val="22"/>
              </w:rPr>
              <w:br/>
              <w:t xml:space="preserve">2026 года – I квартал </w:t>
            </w:r>
            <w:r>
              <w:rPr>
                <w:sz w:val="22"/>
                <w:szCs w:val="22"/>
              </w:rPr>
              <w:br/>
              <w:t xml:space="preserve">2027 года</w:t>
            </w:r>
            <w:r>
              <w:rPr>
                <w:sz w:val="22"/>
                <w:szCs w:val="22"/>
                <w:highlight w:val="yellow"/>
              </w:rPr>
            </w:r>
            <w:r>
              <w:rPr>
                <w:sz w:val="22"/>
                <w:szCs w:val="22"/>
                <w:highlight w:val="yellow"/>
              </w:rPr>
            </w:r>
          </w:p>
        </w:tc>
      </w:tr>
      <w:tr>
        <w:tblPrEx/>
        <w:trPr>
          <w:trHeight w:val="60"/>
        </w:trPr>
        <w:tc>
          <w:tcPr>
            <w:tcBorders>
              <w:bottom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1.12.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bottom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реализации мероприятий по развитию жилищного строительства в селе Сиреники в рамках Государственной программы «Развитие жилищного строительства в Чукотском автономном округе» в 2025 году и истекшем периоде 2026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(дополнен 13.02.2026 протокол №2)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bottom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</w:rPr>
            </w:pPr>
            <w:r>
              <w:rPr>
                <w:bCs/>
              </w:rPr>
              <w:t xml:space="preserve">Тодавчич О.М.</w:t>
            </w: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Borders>
              <w:bottom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I-II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(в редакции </w:t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  <w:r>
              <w:rPr>
                <w:rFonts w:ascii="Times New Roman" w:hAnsi="Times New Roman" w:cs="Times New Roman"/>
                <w:bCs/>
                <w:i/>
                <w:sz w:val="22"/>
                <w:szCs w:val="22"/>
              </w:rPr>
            </w:r>
          </w:p>
          <w:p>
            <w:pPr>
              <w:pStyle w:val="901"/>
              <w:jc w:val="center"/>
              <w:spacing w:line="21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iCs/>
                <w:sz w:val="22"/>
                <w:szCs w:val="22"/>
              </w:rPr>
              <w:t xml:space="preserve">от 28.04.2026 протокол № 6)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51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lang w:val="en-US"/>
              </w:rPr>
            </w:pPr>
            <w:r>
              <w:rPr>
                <w:b/>
                <w:bCs/>
                <w:sz w:val="28"/>
                <w:szCs w:val="28"/>
              </w:rPr>
              <w:t xml:space="preserve">2. Экспертно-аналитическая деятельность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  <w:lang w:val="en-US"/>
              </w:rPr>
            </w:r>
          </w:p>
        </w:tc>
      </w:tr>
      <w:tr>
        <w:tblPrEx/>
        <w:trPr>
          <w:trHeight w:val="451"/>
        </w:trPr>
        <w:tc>
          <w:tcPr>
            <w:tcBorders>
              <w:top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Внешняя проверка годового отчета об исполнении окружного бюджета за 2025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Бондаренко И.В.</w:t>
            </w:r>
            <w:r/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79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Внешняя проверка годового отчета об исполнении бюджета Чукотского территориального фонда обязательного медицинского страхования за 2025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Шадрина Л.П.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5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реализации национальных проектов в Чукотском автономном округе за 2025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Тодавчич О.М.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  <w:highlight w:val="yellow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I</w:t>
            </w:r>
            <w:r>
              <w:rPr>
                <w:sz w:val="22"/>
                <w:szCs w:val="22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 кварталы</w:t>
            </w:r>
            <w:r>
              <w:rPr>
                <w:sz w:val="22"/>
                <w:szCs w:val="22"/>
                <w:highlight w:val="yellow"/>
                <w:lang w:val="en-US"/>
              </w:rPr>
            </w:r>
            <w:r>
              <w:rPr>
                <w:sz w:val="22"/>
                <w:szCs w:val="22"/>
                <w:highlight w:val="yellow"/>
                <w:lang w:val="en-US"/>
              </w:rPr>
            </w:r>
          </w:p>
        </w:tc>
      </w:tr>
      <w:tr>
        <w:tblPrEx/>
        <w:trPr>
          <w:trHeight w:val="59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2.4.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Оперативный контроль исполнения закона Чукотского автономного округа об окружном бюджете на текущий финансовый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239"/>
              <w:jc w:val="center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Бондаренко И.В.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 xml:space="preserve">III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  <w:lang w:val="en-US"/>
              </w:rPr>
              <w:t xml:space="preserve"> IV</w:t>
            </w:r>
            <w:r>
              <w:rPr>
                <w:sz w:val="22"/>
                <w:szCs w:val="22"/>
              </w:rPr>
              <w:t xml:space="preserve">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57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2.5.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Оперативный контроль исполнения закона о бюджете Чукотского территориального фонда обязательного медицинского страхования на текущий финансовый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239"/>
              <w:jc w:val="center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Шадрина Л.П.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 xml:space="preserve">III</w:t>
            </w:r>
            <w:r>
              <w:rPr>
                <w:sz w:val="22"/>
                <w:szCs w:val="22"/>
              </w:rPr>
              <w:t xml:space="preserve">,</w:t>
            </w:r>
            <w:r>
              <w:rPr>
                <w:sz w:val="22"/>
                <w:szCs w:val="22"/>
                <w:lang w:val="en-US"/>
              </w:rPr>
              <w:t xml:space="preserve"> IV </w:t>
            </w:r>
            <w:r>
              <w:rPr>
                <w:sz w:val="22"/>
                <w:szCs w:val="22"/>
              </w:rPr>
              <w:t xml:space="preserve">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64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2.6.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 проекта закона Чукотского автономного округа «Об окружном бюджете на 2027 год и на плановый период 2028 и 2029 годов»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Бондаренко И.В.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84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2.7.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 проекта закона Чукотского автономного округа «О бюджете Чукотского территориального фонда обязательного медицинского страхования на 2027 год и на плановый период 2028 и 2029 годов»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Шадрина Л.П.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4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2.8.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 проектов законов Чукотского автономного округа «О внесении изменений в Закон Чукотского автономного округа «Об окружном бюджете на 2026 год и на плановый период 2027 и 2028 годов»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Бондаренко И.В.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2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2.9.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 проектов законов «О внесении изменений в Закон Чукотского автономного округа «О бюджете Чукотского территориального фонда обязательного медицинского страхования на 2026 год и на плановый период 2027 и 2028 годов»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Шадрина Л.П.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96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2.10.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реал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изации на территории Чукотского автономного округа национальных проектов, определенных Указом Президента Российской Федерации от 7 мая 2024 года №309 «О национальных целях развития Российской Федерации на период до 2030 года и на перспективу до 2036 года»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Тодавчич О.М.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161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реализации комплекса процессных мероприятий «Укрепление единого культурного пространства и развитие межнациональных отношений» Государственной программы «Развитие культуры и туризма Чукотского автономного округа» за 2025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Шадрина Л.П.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III-IV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64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Аудит в сфере закупок товаров, работ, услуг для нужд Государственного бюджетного учреждения Чукотского автономного округа «Центр государственной кадастровой оценки и технического архива Чукотского автономного округа» за 2025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Тодавчич О.М.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III-IV кварталы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81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реализации мероприятий Государственной программы «Развитие образования и науки Чукотского автономного округа Чукотского автономного округа» за 9 месяцев 2026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Тодавчич О.М.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45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2.14.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реализации мероприятий Государственной программы «Развитие культуры и туризма Чукотского автономного округа» за 9 месяцев 2026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Тодавчич О.М.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95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2.15.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реализации мероприятий Государственной программы «Развитие системы обращения с отходами Чукотского автономного округа» за 9 месяцев 2026 года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239"/>
              <w:jc w:val="center"/>
              <w:spacing w:line="216" w:lineRule="auto"/>
            </w:pPr>
            <w:r>
              <w:t xml:space="preserve">Тодавчич О.М.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IV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93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51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 xml:space="preserve">3. Экспертная деятельность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389"/>
        </w:trPr>
        <w:tc>
          <w:tcPr>
            <w:tcBorders>
              <w:top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 проектов законов и иных нормативных правовых актов органов государственной власти Чукотского автономного округа в части, касающейся расходных обязательств автономного округа, эксп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ертиза проектов законов Чукотского автономного округа, приводящих к изменению доходов окружного бюджета и бюджета Чукотского территориального фонда обязательного медицинского страхования, а также государственных программ (проектов государственных программ)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9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 проекта закона Чукотского автономного округа «Об исполнении окружного бюджета за 2025 год»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Бондаренко И.В.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20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3.3.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901"/>
              <w:jc w:val="both"/>
              <w:spacing w:line="21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Экспертиза проекта закона Чукотского автономного округа «Об исполнении бюджета Чукотского территориального фонда обязательного медицинского страхования за 2025 год»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Шадрина Л.П.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</w:t>
            </w:r>
            <w:r>
              <w:rPr>
                <w:sz w:val="22"/>
                <w:szCs w:val="22"/>
              </w:rPr>
              <w:t xml:space="preserve"> 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531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 xml:space="preserve">4. Реализация материалов контрольных и экспертно-аналитических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50"/>
        </w:trPr>
        <w:tc>
          <w:tcPr>
            <w:tcBorders>
              <w:top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результатов выполнения предложений и рекомендаций Счетной палаты, отраженных в заключениях, отчетах и информационных письмах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контрольных мероприятий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3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прокуратурой, с правоохранительными органами по выявлению и пресечению правонарушений в финансово-бюджетной сфере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Председатель, заместитель Председателя, 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50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Составление протоколов об административных правонарушениях в рамках компетенции Счетной палаты Чукотского автономного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исполнители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выявления нарушений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0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4.4.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исполнением представлений, предписаний и уведомлений объектами контроля по результатам проверок Счетной палаты Чукотского автономного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руководители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контрольных мероприятий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shd w:val="clear" w:color="auto" w:fill="auto"/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59"/>
        </w:trPr>
        <w:tc>
          <w:tcPr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5451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sz w:val="28"/>
                <w:szCs w:val="28"/>
              </w:rPr>
              <w:t xml:space="preserve">5. Организационно-методическая, информационная деятельность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59"/>
        </w:trPr>
        <w:tc>
          <w:tcPr>
            <w:tcBorders>
              <w:top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за исполнением плана работы Счетной палаты Чукотского автономного округа на 2026  год, подготовка плана работы Счетной палаты Чукотского автономного округа на 2027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4"/>
              <w:ind w:left="33" w:right="-108" w:hanging="141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auto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постоянно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81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годового отчета о деятельности Счетной палаты Чукотского автономного округа в Думу Чукотского автономного округа за 2025 год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4"/>
              <w:ind w:left="33" w:right="-108" w:hanging="141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 </w:t>
            </w:r>
            <w:r>
              <w:rPr>
                <w:sz w:val="22"/>
                <w:szCs w:val="22"/>
              </w:rPr>
              <w:t xml:space="preserve">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122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Представление информации о ходе исполнения окружного бюджета Чукотского ав</w:t>
            </w:r>
            <w:r>
              <w:rPr>
                <w:sz w:val="24"/>
                <w:szCs w:val="24"/>
              </w:rPr>
              <w:t xml:space="preserve">тономного округа, бюджета Чукотского территориального фонда обязательного медицинского страхования, о результатах проведенных контрольных и экспертно-аналитических мероприятий в Думу Чукотского автономного округа и Губернатору Чукотского автономного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4"/>
              <w:ind w:left="33" w:right="-108" w:hanging="141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37"/>
              <w:jc w:val="center"/>
              <w:spacing w:line="216" w:lineRule="auto"/>
              <w:shd w:val="clear" w:color="auto" w:fill="auto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ежеквартально</w:t>
            </w:r>
            <w:r>
              <w:rPr>
                <w:strike/>
                <w:sz w:val="22"/>
                <w:szCs w:val="22"/>
              </w:rPr>
            </w:r>
            <w:r>
              <w:rPr>
                <w:strike/>
                <w:sz w:val="22"/>
                <w:szCs w:val="22"/>
              </w:rPr>
            </w:r>
          </w:p>
        </w:tc>
      </w:tr>
      <w:tr>
        <w:tblPrEx/>
        <w:trPr>
          <w:trHeight w:val="467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5.4.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Взаимодействие с контрольно-счетными органами муниципальных образований Чукотского автономного округа в рамках Совета КСО Чукотского автономного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4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Председателя,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4"/>
              <w:ind w:left="33"/>
              <w:jc w:val="center"/>
              <w:spacing w:line="216" w:lineRule="auto"/>
              <w:shd w:val="clear" w:color="auto" w:fill="auto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сотрудники</w:t>
            </w:r>
            <w:r>
              <w:rPr>
                <w:strike/>
                <w:sz w:val="22"/>
                <w:szCs w:val="22"/>
              </w:rPr>
            </w:r>
            <w:r>
              <w:rPr>
                <w:strike/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66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5.5.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протокольных поручений отделения Совета КСО при Счетной палате Российской Федерации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33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29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5.6.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sz w:val="24"/>
                <w:szCs w:val="24"/>
                <w:highlight w:val="none"/>
              </w:rPr>
            </w:pPr>
            <w:r>
              <w:rPr>
                <w:sz w:val="24"/>
                <w:szCs w:val="24"/>
              </w:rPr>
              <w:t xml:space="preserve">Представление информации о деятельности Счетной палаты СМИ и размещение на официальном сайте, страницах в социальных сетях и портале контрольно-счетных органов Российской Федерации</w:t>
            </w:r>
            <w:r>
              <w:rPr>
                <w:sz w:val="24"/>
                <w:szCs w:val="24"/>
                <w:highlight w:val="none"/>
              </w:rPr>
            </w:r>
            <w:r>
              <w:rPr>
                <w:sz w:val="24"/>
                <w:szCs w:val="24"/>
                <w:highlight w:val="none"/>
              </w:rPr>
            </w:r>
          </w:p>
          <w:p>
            <w:pPr>
              <w:pStyle w:val="894"/>
              <w:ind w:left="18"/>
              <w:jc w:val="both"/>
              <w:spacing w:line="216" w:lineRule="auto"/>
              <w:shd w:val="clear" w:color="auto" w:fill="auto"/>
              <w:rPr>
                <w:bCs/>
                <w:i/>
                <w:strike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  <w:highlight w:val="none"/>
              </w:rPr>
              <w:t xml:space="preserve">(в редакции</w:t>
            </w:r>
            <w:r>
              <w:rPr>
                <w:i/>
                <w:iCs/>
                <w:sz w:val="24"/>
                <w:szCs w:val="24"/>
                <w:highlight w:val="none"/>
              </w:rPr>
              <w:t xml:space="preserve"> от 29.06.2026 протокол № 11)</w:t>
            </w:r>
            <w:r>
              <w:rPr>
                <w:bCs/>
                <w:i/>
                <w:strike/>
                <w:sz w:val="24"/>
                <w:szCs w:val="24"/>
              </w:rPr>
            </w:r>
            <w:r>
              <w:rPr>
                <w:bCs/>
                <w:i/>
                <w:strike/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33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894"/>
              <w:ind w:left="33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исполнители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370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5.7.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pStyle w:val="894"/>
              <w:jc w:val="both"/>
              <w:spacing w:line="216" w:lineRule="auto"/>
              <w:shd w:val="clear" w:color="auto" w:fill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Повышение квалификации сотрудников Счетной палаты Чукотского автономного округа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33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04"/>
              <w:jc w:val="center"/>
              <w:spacing w:line="216" w:lineRule="auto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совместно с ответственными сотрудниками </w:t>
            </w:r>
            <w:r>
              <w:rPr>
                <w:strike/>
                <w:sz w:val="22"/>
                <w:szCs w:val="22"/>
              </w:rPr>
            </w:r>
            <w:r>
              <w:rPr>
                <w:strike/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pStyle w:val="894"/>
              <w:ind w:left="-108" w:right="-108"/>
              <w:jc w:val="center"/>
              <w:spacing w:line="216" w:lineRule="auto"/>
              <w:shd w:val="clear" w:color="auto" w:fill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33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5.8.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Участие в заседаниях Думы Чукотского автономного округа, ее постоянных комитетах, комиссиях и рабочих группах, заседаниях Правительства Чукотского автономного округа и иных органов исполнительной власти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Председатель, заместитель Председателя,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8"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59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5.9.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Подготовка и оформление заседаний Коллегии Счетной палаты Чукотского автономного округа, контроль за исполнением принятых на ее заседаниях решений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Председателя, аудиторы,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8"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сотрудники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09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5.10.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Методологическое обеспечение деятельности Счетной палаты Чукотского автономного округа, мониторинг стандартов ВГФК и стандартов организации деятельности и внесение изменений в них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Председателя,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34" w:right="34" w:hanging="142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34" w:right="34" w:hanging="142"/>
              <w:jc w:val="center"/>
              <w:spacing w:line="216" w:lineRule="auto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сотрудники</w:t>
            </w:r>
            <w:r>
              <w:rPr>
                <w:strike/>
                <w:sz w:val="22"/>
                <w:szCs w:val="22"/>
              </w:rPr>
            </w:r>
            <w:r>
              <w:rPr>
                <w:strike/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32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5.11.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Подготовка ответов на запросы и обращения юридических и физических лиц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заместитель Председателя, аудиторы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 мере поступления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499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5.12.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Организация и осуществление работ по закупке товаров, работ, услуг для обеспечения нужд Счетной палаты Чукотского автономного округа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16" w:lineRule="auto"/>
              <w:rPr>
                <w:strike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сотрудники</w:t>
            </w:r>
            <w:r>
              <w:rPr>
                <w:strike/>
                <w:sz w:val="22"/>
                <w:szCs w:val="22"/>
              </w:rPr>
            </w:r>
            <w:r>
              <w:rPr>
                <w:strike/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 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716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5.13.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Подготовка обобщенной информации по аудиту закупок товаров, работ, услуг для обеспечения государственных нужд Чукотского автономного округа за 2025 год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right="-108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Тодавчич О.М.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II </w:t>
            </w:r>
            <w:r>
              <w:rPr>
                <w:sz w:val="22"/>
                <w:szCs w:val="22"/>
              </w:rPr>
              <w:t xml:space="preserve">квартал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  <w:tr>
        <w:tblPrEx/>
        <w:trPr>
          <w:trHeight w:val="698"/>
        </w:trPr>
        <w:tc>
          <w:tcPr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line="216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5.14.</w:t>
            </w:r>
            <w:r>
              <w:rPr>
                <w:bCs/>
                <w:sz w:val="22"/>
                <w:szCs w:val="22"/>
              </w:rPr>
            </w:r>
            <w:r>
              <w:rPr>
                <w:bCs/>
                <w:sz w:val="22"/>
                <w:szCs w:val="22"/>
              </w:rPr>
            </w:r>
          </w:p>
        </w:tc>
        <w:tc>
          <w:tcPr>
            <w:tcW w:w="10632" w:type="dxa"/>
            <w:vAlign w:val="center"/>
            <w:textDirection w:val="lrTb"/>
            <w:noWrap w:val="false"/>
          </w:tcPr>
          <w:p>
            <w:pPr>
              <w:ind w:left="18"/>
              <w:jc w:val="both"/>
              <w:spacing w:line="216" w:lineRule="auto"/>
            </w:pPr>
            <w:r>
              <w:t xml:space="preserve">Организация работы по противодействию коррупции, участие в пределах полномочий в мероприятиях, направленных на противодействие коррупции</w:t>
            </w:r>
            <w:r/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108" w:right="-104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аудиторы,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108" w:right="-104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ответственные сотрудники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W w:w="1984" w:type="dxa"/>
            <w:vAlign w:val="center"/>
            <w:textDirection w:val="lrTb"/>
            <w:noWrap w:val="false"/>
          </w:tcPr>
          <w:p>
            <w:pPr>
              <w:ind w:left="-79" w:right="-137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течение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ind w:left="-79" w:right="-137"/>
              <w:jc w:val="center"/>
              <w:spacing w:line="21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года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jc w:val="both"/>
        <w:spacing w:line="18" w:lineRule="atLeast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spacing w:line="18" w:lineRule="atLeast"/>
        <w:rPr>
          <w:sz w:val="22"/>
          <w:szCs w:val="22"/>
        </w:rPr>
      </w:pPr>
      <w:r/>
      <w:bookmarkStart w:id="0" w:name="_GoBack"/>
      <w:r/>
      <w:bookmarkEnd w:id="0"/>
      <w:r>
        <w:rPr>
          <w:sz w:val="22"/>
          <w:szCs w:val="22"/>
        </w:rPr>
      </w:r>
      <w:r>
        <w:rPr>
          <w:sz w:val="22"/>
          <w:szCs w:val="22"/>
        </w:rPr>
      </w:r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284" w:right="1134" w:bottom="709" w:left="902" w:header="426" w:footer="997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7"/>
      </w:rPr>
      <w:framePr w:wrap="around" w:vAnchor="text" w:hAnchor="margin" w:xAlign="center" w:y="1"/>
    </w:pPr>
    <w:r>
      <w:rPr>
        <w:rStyle w:val="887"/>
      </w:rPr>
      <w:fldChar w:fldCharType="begin"/>
    </w:r>
    <w:r>
      <w:rPr>
        <w:rStyle w:val="887"/>
      </w:rPr>
      <w:instrText xml:space="preserve">PAGE  </w:instrText>
    </w:r>
    <w:r>
      <w:rPr>
        <w:rStyle w:val="887"/>
      </w:rPr>
      <w:fldChar w:fldCharType="separate"/>
    </w:r>
    <w:r>
      <w:rPr>
        <w:rStyle w:val="887"/>
      </w:rPr>
      <w:t xml:space="preserve">5</w:t>
    </w:r>
    <w:r>
      <w:rPr>
        <w:rStyle w:val="887"/>
      </w:rPr>
      <w:fldChar w:fldCharType="end"/>
    </w:r>
    <w:r>
      <w:rPr>
        <w:rStyle w:val="887"/>
      </w:rPr>
    </w:r>
    <w:r>
      <w:rPr>
        <w:rStyle w:val="887"/>
      </w:rPr>
    </w:r>
  </w:p>
  <w:p>
    <w:pPr>
      <w:pStyle w:val="88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6"/>
      <w:rPr>
        <w:rStyle w:val="887"/>
      </w:rPr>
      <w:framePr w:wrap="around" w:vAnchor="text" w:hAnchor="margin" w:xAlign="center" w:y="1"/>
    </w:pPr>
    <w:r>
      <w:rPr>
        <w:rStyle w:val="887"/>
      </w:rPr>
      <w:fldChar w:fldCharType="begin"/>
    </w:r>
    <w:r>
      <w:rPr>
        <w:rStyle w:val="887"/>
      </w:rPr>
      <w:instrText xml:space="preserve">PAGE  </w:instrText>
    </w:r>
    <w:r>
      <w:rPr>
        <w:rStyle w:val="887"/>
      </w:rPr>
      <w:fldChar w:fldCharType="end"/>
    </w:r>
    <w:r>
      <w:rPr>
        <w:rStyle w:val="887"/>
      </w:rPr>
    </w:r>
    <w:r>
      <w:rPr>
        <w:rStyle w:val="887"/>
      </w:rPr>
    </w:r>
  </w:p>
  <w:p>
    <w:pPr>
      <w:pStyle w:val="886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8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2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9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6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3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8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5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2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94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695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696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697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698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699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01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702">
    <w:name w:val="Title Char"/>
    <w:basedOn w:val="720"/>
    <w:link w:val="732"/>
    <w:uiPriority w:val="10"/>
    <w:rPr>
      <w:sz w:val="48"/>
      <w:szCs w:val="48"/>
    </w:rPr>
  </w:style>
  <w:style w:type="character" w:styleId="703">
    <w:name w:val="Subtitle Char"/>
    <w:basedOn w:val="720"/>
    <w:link w:val="734"/>
    <w:uiPriority w:val="11"/>
    <w:rPr>
      <w:sz w:val="24"/>
      <w:szCs w:val="24"/>
    </w:rPr>
  </w:style>
  <w:style w:type="character" w:styleId="704">
    <w:name w:val="Quote Char"/>
    <w:link w:val="736"/>
    <w:uiPriority w:val="29"/>
    <w:rPr>
      <w:i/>
    </w:rPr>
  </w:style>
  <w:style w:type="character" w:styleId="705">
    <w:name w:val="Intense Quote Char"/>
    <w:link w:val="738"/>
    <w:uiPriority w:val="30"/>
    <w:rPr>
      <w:i/>
    </w:rPr>
  </w:style>
  <w:style w:type="character" w:styleId="706">
    <w:name w:val="Header Char"/>
    <w:basedOn w:val="720"/>
    <w:link w:val="886"/>
    <w:uiPriority w:val="99"/>
  </w:style>
  <w:style w:type="character" w:styleId="707">
    <w:name w:val="Footer Char"/>
    <w:basedOn w:val="720"/>
    <w:link w:val="890"/>
    <w:uiPriority w:val="99"/>
  </w:style>
  <w:style w:type="character" w:styleId="708">
    <w:name w:val="Caption Char"/>
    <w:basedOn w:val="720"/>
    <w:link w:val="742"/>
    <w:uiPriority w:val="35"/>
    <w:rPr>
      <w:b/>
      <w:bCs/>
      <w:color w:val="4f81bd" w:themeColor="accent1"/>
      <w:sz w:val="18"/>
      <w:szCs w:val="18"/>
    </w:rPr>
  </w:style>
  <w:style w:type="character" w:styleId="709">
    <w:name w:val="Endnote Text Char"/>
    <w:link w:val="872"/>
    <w:uiPriority w:val="99"/>
    <w:rPr>
      <w:sz w:val="20"/>
    </w:rPr>
  </w:style>
  <w:style w:type="paragraph" w:styleId="710" w:default="1">
    <w:name w:val="Normal"/>
    <w:qFormat/>
    <w:rPr>
      <w:sz w:val="24"/>
      <w:szCs w:val="24"/>
    </w:rPr>
  </w:style>
  <w:style w:type="paragraph" w:styleId="711">
    <w:name w:val="Heading 1"/>
    <w:basedOn w:val="710"/>
    <w:next w:val="710"/>
    <w:link w:val="902"/>
    <w:qFormat/>
    <w:pPr>
      <w:keepNext/>
      <w:outlineLvl w:val="0"/>
    </w:pPr>
    <w:rPr>
      <w:b/>
      <w:bCs/>
    </w:rPr>
  </w:style>
  <w:style w:type="paragraph" w:styleId="712">
    <w:name w:val="Heading 2"/>
    <w:basedOn w:val="710"/>
    <w:next w:val="710"/>
    <w:link w:val="724"/>
    <w:qFormat/>
    <w:pPr>
      <w:keepNext/>
      <w:outlineLvl w:val="1"/>
    </w:pPr>
    <w:rPr>
      <w:b/>
      <w:bCs/>
      <w:sz w:val="26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</w:rPr>
  </w:style>
  <w:style w:type="paragraph" w:styleId="716">
    <w:name w:val="Heading 6"/>
    <w:basedOn w:val="710"/>
    <w:next w:val="710"/>
    <w:link w:val="72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Heading 1 Char"/>
    <w:basedOn w:val="720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Title"/>
    <w:basedOn w:val="710"/>
    <w:next w:val="710"/>
    <w:link w:val="7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3" w:customStyle="1">
    <w:name w:val="Заголовок Знак"/>
    <w:basedOn w:val="720"/>
    <w:link w:val="732"/>
    <w:uiPriority w:val="10"/>
    <w:rPr>
      <w:sz w:val="48"/>
      <w:szCs w:val="48"/>
    </w:rPr>
  </w:style>
  <w:style w:type="paragraph" w:styleId="734">
    <w:name w:val="Subtitle"/>
    <w:basedOn w:val="710"/>
    <w:next w:val="710"/>
    <w:link w:val="735"/>
    <w:uiPriority w:val="11"/>
    <w:qFormat/>
    <w:pPr>
      <w:spacing w:before="200" w:after="200"/>
    </w:pPr>
  </w:style>
  <w:style w:type="character" w:styleId="735" w:customStyle="1">
    <w:name w:val="Подзаголовок Знак"/>
    <w:basedOn w:val="720"/>
    <w:link w:val="734"/>
    <w:uiPriority w:val="11"/>
    <w:rPr>
      <w:sz w:val="24"/>
      <w:szCs w:val="24"/>
    </w:rPr>
  </w:style>
  <w:style w:type="paragraph" w:styleId="736">
    <w:name w:val="Quote"/>
    <w:basedOn w:val="710"/>
    <w:next w:val="710"/>
    <w:link w:val="737"/>
    <w:uiPriority w:val="29"/>
    <w:qFormat/>
    <w:pPr>
      <w:ind w:left="720" w:right="720"/>
    </w:pPr>
    <w:rPr>
      <w:i/>
    </w:rPr>
  </w:style>
  <w:style w:type="character" w:styleId="737" w:customStyle="1">
    <w:name w:val="Цитата 2 Знак"/>
    <w:link w:val="736"/>
    <w:uiPriority w:val="29"/>
    <w:rPr>
      <w:i/>
    </w:rPr>
  </w:style>
  <w:style w:type="paragraph" w:styleId="738">
    <w:name w:val="Intense Quote"/>
    <w:basedOn w:val="710"/>
    <w:next w:val="710"/>
    <w:link w:val="739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9" w:customStyle="1">
    <w:name w:val="Выделенная цитата Знак"/>
    <w:link w:val="738"/>
    <w:uiPriority w:val="30"/>
    <w:rPr>
      <w:i/>
    </w:rPr>
  </w:style>
  <w:style w:type="character" w:styleId="740" w:customStyle="1">
    <w:name w:val="Верхний колонтитул Знак"/>
    <w:basedOn w:val="720"/>
    <w:link w:val="886"/>
    <w:uiPriority w:val="99"/>
  </w:style>
  <w:style w:type="character" w:styleId="741" w:customStyle="1">
    <w:name w:val="Нижний колонтитул Знак"/>
    <w:basedOn w:val="720"/>
    <w:link w:val="890"/>
    <w:uiPriority w:val="99"/>
  </w:style>
  <w:style w:type="paragraph" w:styleId="742">
    <w:name w:val="Caption"/>
    <w:basedOn w:val="710"/>
    <w:next w:val="710"/>
    <w:link w:val="74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3" w:customStyle="1">
    <w:name w:val="Название объекта Знак"/>
    <w:basedOn w:val="720"/>
    <w:link w:val="742"/>
    <w:uiPriority w:val="35"/>
    <w:rPr>
      <w:b/>
      <w:bCs/>
      <w:color w:val="4f81bd" w:themeColor="accent1"/>
      <w:sz w:val="18"/>
      <w:szCs w:val="18"/>
    </w:rPr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70">
    <w:name w:val="Hyperlink"/>
    <w:uiPriority w:val="99"/>
    <w:unhideWhenUsed/>
    <w:rPr>
      <w:color w:val="0000ff" w:themeColor="hyperlink"/>
      <w:u w:val="single"/>
    </w:rPr>
  </w:style>
  <w:style w:type="character" w:styleId="871" w:customStyle="1">
    <w:name w:val="Footnote Text Char"/>
    <w:uiPriority w:val="99"/>
    <w:rPr>
      <w:sz w:val="18"/>
    </w:rPr>
  </w:style>
  <w:style w:type="paragraph" w:styleId="872">
    <w:name w:val="endnote text"/>
    <w:basedOn w:val="710"/>
    <w:link w:val="873"/>
    <w:uiPriority w:val="99"/>
    <w:semiHidden/>
    <w:unhideWhenUsed/>
    <w:rPr>
      <w:sz w:val="20"/>
    </w:rPr>
  </w:style>
  <w:style w:type="character" w:styleId="873" w:customStyle="1">
    <w:name w:val="Текст концевой сноски Знак"/>
    <w:link w:val="872"/>
    <w:uiPriority w:val="99"/>
    <w:rPr>
      <w:sz w:val="20"/>
    </w:rPr>
  </w:style>
  <w:style w:type="character" w:styleId="874">
    <w:name w:val="endnote reference"/>
    <w:basedOn w:val="720"/>
    <w:uiPriority w:val="99"/>
    <w:semiHidden/>
    <w:unhideWhenUsed/>
    <w:rPr>
      <w:vertAlign w:val="superscript"/>
    </w:rPr>
  </w:style>
  <w:style w:type="paragraph" w:styleId="875">
    <w:name w:val="toc 1"/>
    <w:basedOn w:val="710"/>
    <w:next w:val="710"/>
    <w:uiPriority w:val="39"/>
    <w:unhideWhenUsed/>
    <w:pPr>
      <w:spacing w:after="57"/>
    </w:pPr>
  </w:style>
  <w:style w:type="paragraph" w:styleId="876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7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8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79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0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1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2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3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4">
    <w:name w:val="TOC Heading"/>
    <w:uiPriority w:val="39"/>
    <w:unhideWhenUsed/>
  </w:style>
  <w:style w:type="paragraph" w:styleId="885">
    <w:name w:val="table of figures"/>
    <w:basedOn w:val="710"/>
    <w:next w:val="710"/>
    <w:uiPriority w:val="99"/>
    <w:unhideWhenUsed/>
  </w:style>
  <w:style w:type="paragraph" w:styleId="886">
    <w:name w:val="Header"/>
    <w:basedOn w:val="710"/>
    <w:link w:val="740"/>
    <w:pPr>
      <w:tabs>
        <w:tab w:val="center" w:pos="4677" w:leader="none"/>
        <w:tab w:val="right" w:pos="9355" w:leader="none"/>
      </w:tabs>
    </w:pPr>
  </w:style>
  <w:style w:type="character" w:styleId="887">
    <w:name w:val="page number"/>
    <w:basedOn w:val="720"/>
  </w:style>
  <w:style w:type="paragraph" w:styleId="888">
    <w:name w:val="Body Text"/>
    <w:basedOn w:val="710"/>
    <w:pPr>
      <w:jc w:val="both"/>
    </w:pPr>
  </w:style>
  <w:style w:type="paragraph" w:styleId="889">
    <w:name w:val="Balloon Text"/>
    <w:basedOn w:val="710"/>
    <w:semiHidden/>
    <w:rPr>
      <w:rFonts w:ascii="Tahoma" w:hAnsi="Tahoma" w:cs="Tahoma"/>
      <w:sz w:val="16"/>
      <w:szCs w:val="16"/>
    </w:rPr>
  </w:style>
  <w:style w:type="paragraph" w:styleId="890">
    <w:name w:val="Footer"/>
    <w:basedOn w:val="710"/>
    <w:link w:val="741"/>
    <w:pPr>
      <w:tabs>
        <w:tab w:val="center" w:pos="4677" w:leader="none"/>
        <w:tab w:val="right" w:pos="9355" w:leader="none"/>
      </w:tabs>
    </w:pPr>
  </w:style>
  <w:style w:type="character" w:styleId="891" w:customStyle="1">
    <w:name w:val="Основной текст (4)_"/>
    <w:basedOn w:val="720"/>
    <w:link w:val="893"/>
    <w:rPr>
      <w:sz w:val="21"/>
      <w:szCs w:val="21"/>
      <w:shd w:val="clear" w:color="auto" w:fill="ffffff"/>
    </w:rPr>
  </w:style>
  <w:style w:type="character" w:styleId="892" w:customStyle="1">
    <w:name w:val="Основной текст_"/>
    <w:basedOn w:val="720"/>
    <w:link w:val="894"/>
    <w:rPr>
      <w:sz w:val="27"/>
      <w:szCs w:val="27"/>
      <w:shd w:val="clear" w:color="auto" w:fill="ffffff"/>
    </w:rPr>
  </w:style>
  <w:style w:type="paragraph" w:styleId="893" w:customStyle="1">
    <w:name w:val="Основной текст (4)"/>
    <w:basedOn w:val="710"/>
    <w:link w:val="891"/>
    <w:pPr>
      <w:jc w:val="center"/>
      <w:spacing w:line="0" w:lineRule="atLeast"/>
      <w:shd w:val="clear" w:color="auto" w:fill="ffffff"/>
    </w:pPr>
    <w:rPr>
      <w:sz w:val="21"/>
      <w:szCs w:val="21"/>
    </w:rPr>
  </w:style>
  <w:style w:type="paragraph" w:styleId="894" w:customStyle="1">
    <w:name w:val="Основной текст1"/>
    <w:basedOn w:val="710"/>
    <w:link w:val="892"/>
    <w:pPr>
      <w:spacing w:line="0" w:lineRule="atLeast"/>
      <w:shd w:val="clear" w:color="auto" w:fill="ffffff"/>
    </w:pPr>
    <w:rPr>
      <w:sz w:val="27"/>
      <w:szCs w:val="27"/>
    </w:rPr>
  </w:style>
  <w:style w:type="character" w:styleId="895" w:customStyle="1">
    <w:name w:val="Основной текст (3)_"/>
    <w:basedOn w:val="720"/>
    <w:link w:val="896"/>
    <w:rPr>
      <w:sz w:val="27"/>
      <w:szCs w:val="27"/>
      <w:shd w:val="clear" w:color="auto" w:fill="ffffff"/>
    </w:rPr>
  </w:style>
  <w:style w:type="paragraph" w:styleId="896" w:customStyle="1">
    <w:name w:val="Основной текст (3)"/>
    <w:basedOn w:val="710"/>
    <w:link w:val="895"/>
    <w:pPr>
      <w:spacing w:line="317" w:lineRule="exact"/>
      <w:shd w:val="clear" w:color="auto" w:fill="ffffff"/>
    </w:pPr>
    <w:rPr>
      <w:sz w:val="27"/>
      <w:szCs w:val="27"/>
    </w:rPr>
  </w:style>
  <w:style w:type="paragraph" w:styleId="897">
    <w:name w:val="footnote text"/>
    <w:basedOn w:val="710"/>
    <w:link w:val="898"/>
    <w:semiHidden/>
    <w:unhideWhenUsed/>
    <w:rPr>
      <w:sz w:val="20"/>
      <w:szCs w:val="20"/>
    </w:rPr>
  </w:style>
  <w:style w:type="character" w:styleId="898" w:customStyle="1">
    <w:name w:val="Текст сноски Знак"/>
    <w:basedOn w:val="720"/>
    <w:link w:val="897"/>
    <w:semiHidden/>
  </w:style>
  <w:style w:type="character" w:styleId="899">
    <w:name w:val="footnote reference"/>
    <w:basedOn w:val="720"/>
    <w:semiHidden/>
    <w:unhideWhenUsed/>
    <w:rPr>
      <w:vertAlign w:val="superscript"/>
    </w:rPr>
  </w:style>
  <w:style w:type="character" w:styleId="900" w:customStyle="1">
    <w:name w:val="Font Style15"/>
    <w:uiPriority w:val="99"/>
    <w:rPr>
      <w:rFonts w:ascii="Times New Roman" w:hAnsi="Times New Roman" w:cs="Times New Roman"/>
      <w:sz w:val="22"/>
      <w:szCs w:val="22"/>
    </w:rPr>
  </w:style>
  <w:style w:type="paragraph" w:styleId="901" w:customStyle="1">
    <w:name w:val="ConsPlusNormal"/>
    <w:rPr>
      <w:rFonts w:ascii="Arial" w:hAnsi="Arial" w:cs="Arial"/>
    </w:rPr>
  </w:style>
  <w:style w:type="character" w:styleId="902" w:customStyle="1">
    <w:name w:val="Заголовок 1 Знак"/>
    <w:basedOn w:val="720"/>
    <w:link w:val="711"/>
    <w:rPr>
      <w:b/>
      <w:bCs/>
      <w:sz w:val="24"/>
      <w:szCs w:val="24"/>
    </w:rPr>
  </w:style>
  <w:style w:type="paragraph" w:styleId="903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Theme="minorHAnsi" w:hAnsiTheme="minorHAnsi" w:eastAsiaTheme="minorEastAsia" w:cstheme="minorBidi"/>
      <w:sz w:val="22"/>
      <w:szCs w:val="22"/>
    </w:rPr>
  </w:style>
  <w:style w:type="paragraph" w:styleId="904" w:customStyle="1">
    <w:name w:val="Default"/>
    <w:rPr>
      <w:color w:val="000000"/>
      <w:sz w:val="24"/>
      <w:szCs w:val="24"/>
    </w:rPr>
  </w:style>
  <w:style w:type="paragraph" w:styleId="905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906" w:customStyle="1">
    <w:name w:val="Таблицы (моноширинный)"/>
    <w:basedOn w:val="710"/>
    <w:next w:val="710"/>
    <w:uiPriority w:val="99"/>
    <w:pPr>
      <w:jc w:val="both"/>
      <w:widowControl w:val="off"/>
    </w:pPr>
    <w:rPr>
      <w:rFonts w:ascii="Courier New" w:hAnsi="Courier New" w:cs="Courier New"/>
    </w:rPr>
  </w:style>
  <w:style w:type="paragraph" w:styleId="907">
    <w:name w:val="No Spacing"/>
    <w:uiPriority w:val="1"/>
    <w:qFormat/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D9C940-6006-45FE-B452-A761080C6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Счетная палата Чукотского АО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постановлению Совета Думы</dc:title>
  <dc:creator>Svetlana</dc:creator>
  <cp:lastModifiedBy>user5.1@sp87.lan</cp:lastModifiedBy>
  <cp:revision>13</cp:revision>
  <dcterms:created xsi:type="dcterms:W3CDTF">2026-04-28T04:06:00Z</dcterms:created>
  <dcterms:modified xsi:type="dcterms:W3CDTF">2026-07-02T03:04:24Z</dcterms:modified>
</cp:coreProperties>
</file>