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Pr="00723208" w:rsidRDefault="002820D8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 w:rsidRPr="00723208">
        <w:rPr>
          <w:b/>
          <w:color w:val="000000"/>
          <w:sz w:val="27"/>
          <w:szCs w:val="27"/>
        </w:rPr>
        <w:t xml:space="preserve">Информация о результатах </w:t>
      </w:r>
      <w:r w:rsidR="008C4CD0">
        <w:rPr>
          <w:b/>
          <w:color w:val="000000"/>
          <w:sz w:val="27"/>
          <w:szCs w:val="27"/>
        </w:rPr>
        <w:t>экспертно-аналитического мероприятия</w:t>
      </w:r>
    </w:p>
    <w:p w:rsidR="00371542" w:rsidRDefault="00352A8E" w:rsidP="001742CC">
      <w:pPr>
        <w:pStyle w:val="af4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723208">
        <w:rPr>
          <w:b/>
          <w:color w:val="000000"/>
          <w:sz w:val="28"/>
          <w:szCs w:val="28"/>
        </w:rPr>
        <w:t>«</w:t>
      </w:r>
      <w:r w:rsidR="008C4CD0">
        <w:rPr>
          <w:b/>
          <w:sz w:val="28"/>
          <w:szCs w:val="28"/>
        </w:rPr>
        <w:t xml:space="preserve">Анализ социально-экономической ситуации </w:t>
      </w:r>
    </w:p>
    <w:p w:rsidR="00352A8E" w:rsidRPr="00723208" w:rsidRDefault="008C4CD0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Чукотского автономного округа за 2020 год</w:t>
      </w:r>
      <w:r w:rsidR="00352A8E" w:rsidRPr="00723208">
        <w:rPr>
          <w:b/>
          <w:color w:val="000000"/>
          <w:sz w:val="28"/>
          <w:szCs w:val="28"/>
        </w:rPr>
        <w:t>»</w:t>
      </w:r>
    </w:p>
    <w:p w:rsidR="00352A8E" w:rsidRPr="00FF6C30" w:rsidRDefault="00352A8E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  <w:highlight w:val="yellow"/>
        </w:rPr>
      </w:pPr>
    </w:p>
    <w:p w:rsidR="002C01CA" w:rsidRPr="00371542" w:rsidRDefault="002C01CA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 xml:space="preserve">Коллегией Счетной палаты Чукотского автономного округа </w:t>
      </w:r>
      <w:r w:rsidR="00D12BEA" w:rsidRPr="00371542">
        <w:rPr>
          <w:color w:val="000000"/>
          <w:sz w:val="28"/>
          <w:szCs w:val="28"/>
        </w:rPr>
        <w:t xml:space="preserve">(далее – Счетная палата) </w:t>
      </w:r>
      <w:r w:rsidRPr="00371542">
        <w:rPr>
          <w:color w:val="000000"/>
          <w:sz w:val="28"/>
          <w:szCs w:val="28"/>
        </w:rPr>
        <w:t xml:space="preserve">подведены итоги </w:t>
      </w:r>
      <w:r w:rsidR="008C4CD0" w:rsidRPr="00371542">
        <w:rPr>
          <w:color w:val="000000"/>
          <w:sz w:val="28"/>
          <w:szCs w:val="28"/>
        </w:rPr>
        <w:t>экспертно-аналитического</w:t>
      </w:r>
      <w:r w:rsidRPr="00371542">
        <w:rPr>
          <w:color w:val="000000"/>
          <w:sz w:val="28"/>
          <w:szCs w:val="28"/>
        </w:rPr>
        <w:t>мероприятия «</w:t>
      </w:r>
      <w:r w:rsidR="008C4CD0" w:rsidRPr="00371542">
        <w:rPr>
          <w:sz w:val="28"/>
          <w:szCs w:val="28"/>
        </w:rPr>
        <w:t>Анализ социально-экономической ситуации Чукотского автономного округа за</w:t>
      </w:r>
      <w:r w:rsidR="004C253B" w:rsidRPr="00371542">
        <w:rPr>
          <w:sz w:val="28"/>
          <w:szCs w:val="28"/>
        </w:rPr>
        <w:t> </w:t>
      </w:r>
      <w:r w:rsidR="008C4CD0" w:rsidRPr="00371542">
        <w:rPr>
          <w:sz w:val="28"/>
          <w:szCs w:val="28"/>
        </w:rPr>
        <w:t>2020 год</w:t>
      </w:r>
      <w:r w:rsidRPr="00371542">
        <w:rPr>
          <w:color w:val="000000"/>
          <w:sz w:val="28"/>
          <w:szCs w:val="28"/>
        </w:rPr>
        <w:t>».</w:t>
      </w:r>
    </w:p>
    <w:p w:rsidR="008C4CD0" w:rsidRPr="00371542" w:rsidRDefault="008C4CD0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>В ходе экспертно-аналитического мероприятия установлено, что</w:t>
      </w:r>
      <w:r w:rsidR="004C253B" w:rsidRPr="00371542">
        <w:rPr>
          <w:color w:val="000000"/>
          <w:sz w:val="28"/>
          <w:szCs w:val="28"/>
        </w:rPr>
        <w:t> </w:t>
      </w:r>
      <w:r w:rsidRPr="00371542">
        <w:rPr>
          <w:color w:val="000000"/>
          <w:sz w:val="28"/>
          <w:szCs w:val="28"/>
        </w:rPr>
        <w:t>макроэкономическая ситуация в Чукотском автономном округе за 2020 год характеризуется стабильностью, по ключевым видам экономической деятельности наблюдаются положительные черты развития.</w:t>
      </w:r>
    </w:p>
    <w:p w:rsidR="008C4CD0" w:rsidRPr="00371542" w:rsidRDefault="008C4CD0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>В отчетном периоде объем промышленного производства вырос на 46% к</w:t>
      </w:r>
      <w:r w:rsidR="004C253B" w:rsidRPr="00371542">
        <w:rPr>
          <w:color w:val="000000"/>
          <w:sz w:val="28"/>
          <w:szCs w:val="28"/>
        </w:rPr>
        <w:t> </w:t>
      </w:r>
      <w:r w:rsidRPr="00371542">
        <w:rPr>
          <w:color w:val="000000"/>
          <w:sz w:val="28"/>
          <w:szCs w:val="28"/>
        </w:rPr>
        <w:t>аналогичному периоде прошлого года, при этом индекс производства снизился к</w:t>
      </w:r>
      <w:r w:rsidR="004C253B" w:rsidRPr="00371542">
        <w:rPr>
          <w:color w:val="000000"/>
          <w:sz w:val="28"/>
          <w:szCs w:val="28"/>
        </w:rPr>
        <w:t> </w:t>
      </w:r>
      <w:r w:rsidRPr="00371542">
        <w:rPr>
          <w:color w:val="000000"/>
          <w:sz w:val="28"/>
          <w:szCs w:val="28"/>
        </w:rPr>
        <w:t>декабрю 2019 года на 3% и составил 98,1%.</w:t>
      </w:r>
    </w:p>
    <w:p w:rsidR="00ED692B" w:rsidRPr="00371542" w:rsidRDefault="00ED692B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>В добывающей промышленности наблюдается наращивание объемов добычи углеводородного топлива (уголь, газ), а также плановое снижение добычи серебра и золота, что связанно с истощением запасов пород.</w:t>
      </w:r>
    </w:p>
    <w:p w:rsidR="00ED692B" w:rsidRPr="00371542" w:rsidRDefault="00ED692B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>Объем обрабатывающего производства в исследуемом периоде составил 90 874,1 млн. рублей, основную долю занимает металлургия – 97,9% общего объема продукции. Пищевая промышленность региона, ориентирована, в</w:t>
      </w:r>
      <w:r w:rsidR="004C253B" w:rsidRPr="00371542">
        <w:rPr>
          <w:color w:val="000000"/>
          <w:sz w:val="28"/>
          <w:szCs w:val="28"/>
        </w:rPr>
        <w:t> </w:t>
      </w:r>
      <w:r w:rsidRPr="00371542">
        <w:rPr>
          <w:color w:val="000000"/>
          <w:sz w:val="28"/>
          <w:szCs w:val="28"/>
        </w:rPr>
        <w:t>основном на удовлетворение внутреннего рынка.</w:t>
      </w:r>
    </w:p>
    <w:p w:rsidR="00ED692B" w:rsidRPr="00371542" w:rsidRDefault="00ED692B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71542">
        <w:rPr>
          <w:rStyle w:val="af3"/>
          <w:b w:val="0"/>
          <w:bCs w:val="0"/>
          <w:color w:val="000000" w:themeColor="text1"/>
          <w:sz w:val="28"/>
          <w:szCs w:val="28"/>
        </w:rPr>
        <w:t xml:space="preserve">Объем производства продукции сельского хозяйства всех сельхозпроизводителей в действующих ценах </w:t>
      </w:r>
      <w:r w:rsidRPr="00371542">
        <w:rPr>
          <w:color w:val="000000" w:themeColor="text1"/>
          <w:sz w:val="28"/>
          <w:szCs w:val="28"/>
        </w:rPr>
        <w:t>за</w:t>
      </w:r>
      <w:r w:rsidRPr="00371542">
        <w:rPr>
          <w:rStyle w:val="af3"/>
          <w:b w:val="0"/>
          <w:bCs w:val="0"/>
          <w:color w:val="000000" w:themeColor="text1"/>
          <w:sz w:val="28"/>
          <w:szCs w:val="28"/>
        </w:rPr>
        <w:t>год</w:t>
      </w:r>
      <w:r w:rsidRPr="00371542">
        <w:rPr>
          <w:color w:val="000000" w:themeColor="text1"/>
          <w:sz w:val="28"/>
          <w:szCs w:val="28"/>
        </w:rPr>
        <w:t>составил 1 694,1 млн. рублей. За отчетный период объем производства сельскохозяйственной продукции увеличился к 2019 году на 9,7%.</w:t>
      </w:r>
    </w:p>
    <w:p w:rsidR="00ED692B" w:rsidRPr="00BF4C6A" w:rsidRDefault="00BF4C6A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4C6A">
        <w:rPr>
          <w:sz w:val="28"/>
          <w:szCs w:val="28"/>
        </w:rPr>
        <w:t>В д</w:t>
      </w:r>
      <w:r w:rsidR="00ED692B" w:rsidRPr="00BF4C6A">
        <w:rPr>
          <w:sz w:val="28"/>
          <w:szCs w:val="28"/>
        </w:rPr>
        <w:t>емографическ</w:t>
      </w:r>
      <w:r w:rsidRPr="00BF4C6A">
        <w:rPr>
          <w:sz w:val="28"/>
          <w:szCs w:val="28"/>
        </w:rPr>
        <w:t>ой</w:t>
      </w:r>
      <w:r w:rsidR="00ED692B" w:rsidRPr="00BF4C6A">
        <w:rPr>
          <w:sz w:val="28"/>
          <w:szCs w:val="28"/>
        </w:rPr>
        <w:t xml:space="preserve"> ситуаци</w:t>
      </w:r>
      <w:r w:rsidRPr="00BF4C6A">
        <w:rPr>
          <w:sz w:val="28"/>
          <w:szCs w:val="28"/>
        </w:rPr>
        <w:t>ирегионанаблюдается</w:t>
      </w:r>
      <w:r w:rsidR="00ED692B" w:rsidRPr="00BF4C6A">
        <w:rPr>
          <w:sz w:val="28"/>
          <w:szCs w:val="28"/>
        </w:rPr>
        <w:t xml:space="preserve"> естественн</w:t>
      </w:r>
      <w:r w:rsidRPr="00BF4C6A">
        <w:rPr>
          <w:sz w:val="28"/>
          <w:szCs w:val="28"/>
        </w:rPr>
        <w:t>ый</w:t>
      </w:r>
      <w:r w:rsidR="00ED692B" w:rsidRPr="00BF4C6A">
        <w:rPr>
          <w:sz w:val="28"/>
          <w:szCs w:val="28"/>
        </w:rPr>
        <w:t xml:space="preserve"> прирост и миграционн</w:t>
      </w:r>
      <w:r w:rsidRPr="00BF4C6A">
        <w:rPr>
          <w:sz w:val="28"/>
          <w:szCs w:val="28"/>
        </w:rPr>
        <w:t>ая</w:t>
      </w:r>
      <w:r w:rsidR="00ED692B" w:rsidRPr="00BF4C6A">
        <w:rPr>
          <w:sz w:val="28"/>
          <w:szCs w:val="28"/>
        </w:rPr>
        <w:t xml:space="preserve"> убыль населения.</w:t>
      </w:r>
    </w:p>
    <w:p w:rsidR="00ED692B" w:rsidRPr="00371542" w:rsidRDefault="00ED692B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F4C6A">
        <w:rPr>
          <w:sz w:val="28"/>
          <w:szCs w:val="28"/>
        </w:rPr>
        <w:t>Среднемесячная начисленная заработная плата</w:t>
      </w:r>
      <w:bookmarkStart w:id="0" w:name="_GoBack"/>
      <w:bookmarkEnd w:id="0"/>
      <w:r w:rsidRPr="00371542">
        <w:rPr>
          <w:sz w:val="28"/>
          <w:szCs w:val="28"/>
        </w:rPr>
        <w:t xml:space="preserve"> работников организаций по</w:t>
      </w:r>
      <w:r w:rsidR="004C253B" w:rsidRPr="00371542">
        <w:rPr>
          <w:sz w:val="28"/>
          <w:szCs w:val="28"/>
        </w:rPr>
        <w:t> </w:t>
      </w:r>
      <w:r w:rsidRPr="00371542">
        <w:rPr>
          <w:sz w:val="28"/>
          <w:szCs w:val="28"/>
        </w:rPr>
        <w:t xml:space="preserve">предварительным данным </w:t>
      </w:r>
      <w:r w:rsidR="00371542" w:rsidRPr="00371542">
        <w:rPr>
          <w:sz w:val="28"/>
          <w:szCs w:val="28"/>
        </w:rPr>
        <w:t>увеличилась</w:t>
      </w:r>
      <w:r w:rsidRPr="00371542">
        <w:rPr>
          <w:sz w:val="28"/>
          <w:szCs w:val="28"/>
        </w:rPr>
        <w:t xml:space="preserve"> на 11,7% и составила 116 999,0 рублей.</w:t>
      </w:r>
    </w:p>
    <w:p w:rsidR="00ED692B" w:rsidRPr="00BF4C6A" w:rsidRDefault="00ED692B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F4C6A">
        <w:rPr>
          <w:sz w:val="28"/>
          <w:szCs w:val="28"/>
        </w:rPr>
        <w:t>Фактическое поступление доходов в окружной бюджет за 2020 год уменьшилось по сравнению с 2019 годом на 4,8% и составило 51 836,0 млн. рублей. Расходы окружного бюджета за 2020 года составили 47 801,4 млн. рублей, что на 11,6% меньше данного показателя за прошлый год. Окружной бюджет по состоянию на 1 января 2021 года исполнен с профицитом</w:t>
      </w:r>
      <w:r w:rsidR="00BF4C6A" w:rsidRPr="00BF4C6A">
        <w:rPr>
          <w:color w:val="000000"/>
          <w:sz w:val="28"/>
          <w:szCs w:val="28"/>
        </w:rPr>
        <w:t>–</w:t>
      </w:r>
      <w:r w:rsidRPr="00BF4C6A">
        <w:rPr>
          <w:sz w:val="28"/>
          <w:szCs w:val="28"/>
        </w:rPr>
        <w:t>4 034,6 млн. рублей.</w:t>
      </w:r>
    </w:p>
    <w:p w:rsidR="00430F67" w:rsidRPr="000A697A" w:rsidRDefault="00430F67" w:rsidP="00244B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6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D692B" w:rsidRPr="00BF4C6A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</w:t>
      </w:r>
      <w:r w:rsidRPr="00BF4C6A">
        <w:rPr>
          <w:rFonts w:ascii="Times New Roman" w:hAnsi="Times New Roman" w:cs="Times New Roman"/>
          <w:sz w:val="28"/>
          <w:szCs w:val="28"/>
        </w:rPr>
        <w:t xml:space="preserve"> мероприятия утвержден решением Коллегии Счетной палаты и направлен в Думу и Губернатору Чукотского автономного округа.</w:t>
      </w:r>
    </w:p>
    <w:sectPr w:rsidR="00430F67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0AEC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32C1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D2B6F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1542"/>
    <w:rsid w:val="00372351"/>
    <w:rsid w:val="00374EA4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5449E"/>
    <w:rsid w:val="00760D52"/>
    <w:rsid w:val="0077319C"/>
    <w:rsid w:val="00783575"/>
    <w:rsid w:val="007C1F3E"/>
    <w:rsid w:val="007D5683"/>
    <w:rsid w:val="007E49D4"/>
    <w:rsid w:val="007E5A82"/>
    <w:rsid w:val="007F4506"/>
    <w:rsid w:val="008118C8"/>
    <w:rsid w:val="00833B73"/>
    <w:rsid w:val="00864E61"/>
    <w:rsid w:val="00870B8E"/>
    <w:rsid w:val="0087250F"/>
    <w:rsid w:val="008C462D"/>
    <w:rsid w:val="008C4CD0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BF4C6A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A79"/>
    <w:rsid w:val="00D12BEA"/>
    <w:rsid w:val="00D24D78"/>
    <w:rsid w:val="00D57C58"/>
    <w:rsid w:val="00DA4B5A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ED692B"/>
    <w:rsid w:val="00F006CB"/>
    <w:rsid w:val="00F1221F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AD04-DE21-450D-BE24-4454765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3</cp:revision>
  <cp:lastPrinted>2021-04-29T21:34:00Z</cp:lastPrinted>
  <dcterms:created xsi:type="dcterms:W3CDTF">2021-04-29T21:51:00Z</dcterms:created>
  <dcterms:modified xsi:type="dcterms:W3CDTF">2021-04-29T22:07:00Z</dcterms:modified>
</cp:coreProperties>
</file>