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4E3023" w:rsidRPr="00872BA1">
        <w:rPr>
          <w:b/>
          <w:bCs/>
          <w:sz w:val="32"/>
          <w:szCs w:val="32"/>
        </w:rPr>
        <w:t>1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43D44" w:rsidRPr="00872BA1" w:rsidRDefault="00F43D44" w:rsidP="00832EE2">
      <w:pPr>
        <w:jc w:val="center"/>
        <w:rPr>
          <w:b/>
          <w:bCs/>
          <w:sz w:val="32"/>
          <w:szCs w:val="32"/>
        </w:rPr>
      </w:pPr>
      <w:r w:rsidRPr="00872BA1">
        <w:rPr>
          <w:bCs/>
          <w:sz w:val="22"/>
          <w:szCs w:val="22"/>
        </w:rPr>
        <w:t>(в редакции от 08.04.2021 протокол №7</w:t>
      </w:r>
      <w:r w:rsidR="00955C91">
        <w:rPr>
          <w:bCs/>
          <w:sz w:val="22"/>
          <w:szCs w:val="22"/>
        </w:rPr>
        <w:t xml:space="preserve">, </w:t>
      </w:r>
      <w:r w:rsidR="00955C91" w:rsidRPr="00872BA1">
        <w:rPr>
          <w:bCs/>
          <w:sz w:val="22"/>
          <w:szCs w:val="22"/>
        </w:rPr>
        <w:t xml:space="preserve">от </w:t>
      </w:r>
      <w:r w:rsidR="00955C91">
        <w:rPr>
          <w:bCs/>
          <w:sz w:val="22"/>
          <w:szCs w:val="22"/>
        </w:rPr>
        <w:t>28</w:t>
      </w:r>
      <w:r w:rsidR="00955C91" w:rsidRPr="00872BA1">
        <w:rPr>
          <w:bCs/>
          <w:sz w:val="22"/>
          <w:szCs w:val="22"/>
        </w:rPr>
        <w:t>.04.2021 протокол №</w:t>
      </w:r>
      <w:r w:rsidR="00955C91">
        <w:rPr>
          <w:bCs/>
          <w:sz w:val="22"/>
          <w:szCs w:val="22"/>
        </w:rPr>
        <w:t>9</w:t>
      </w:r>
      <w:r w:rsidR="00130520">
        <w:rPr>
          <w:bCs/>
          <w:sz w:val="22"/>
          <w:szCs w:val="22"/>
        </w:rPr>
        <w:t xml:space="preserve">, </w:t>
      </w:r>
      <w:r w:rsidR="00130520" w:rsidRPr="00872BA1">
        <w:rPr>
          <w:bCs/>
          <w:sz w:val="22"/>
          <w:szCs w:val="22"/>
        </w:rPr>
        <w:t xml:space="preserve">от </w:t>
      </w:r>
      <w:r w:rsidR="00130520">
        <w:rPr>
          <w:bCs/>
          <w:sz w:val="22"/>
          <w:szCs w:val="22"/>
        </w:rPr>
        <w:t>21</w:t>
      </w:r>
      <w:r w:rsidR="00130520" w:rsidRPr="00872BA1">
        <w:rPr>
          <w:bCs/>
          <w:sz w:val="22"/>
          <w:szCs w:val="22"/>
        </w:rPr>
        <w:t>.0</w:t>
      </w:r>
      <w:r w:rsidR="00130520">
        <w:rPr>
          <w:bCs/>
          <w:sz w:val="22"/>
          <w:szCs w:val="22"/>
        </w:rPr>
        <w:t>5</w:t>
      </w:r>
      <w:r w:rsidR="00130520" w:rsidRPr="00872BA1">
        <w:rPr>
          <w:bCs/>
          <w:sz w:val="22"/>
          <w:szCs w:val="22"/>
        </w:rPr>
        <w:t>.2021 протокол №</w:t>
      </w:r>
      <w:r w:rsidR="00130520">
        <w:rPr>
          <w:bCs/>
          <w:sz w:val="22"/>
          <w:szCs w:val="22"/>
        </w:rPr>
        <w:t>10</w:t>
      </w:r>
      <w:r w:rsidR="00F412F6">
        <w:rPr>
          <w:bCs/>
          <w:sz w:val="22"/>
          <w:szCs w:val="22"/>
        </w:rPr>
        <w:t xml:space="preserve">, </w:t>
      </w:r>
      <w:r w:rsidR="00F412F6" w:rsidRPr="00872BA1">
        <w:rPr>
          <w:bCs/>
          <w:sz w:val="22"/>
          <w:szCs w:val="22"/>
        </w:rPr>
        <w:t xml:space="preserve">от </w:t>
      </w:r>
      <w:r w:rsidR="00F412F6">
        <w:rPr>
          <w:bCs/>
          <w:sz w:val="22"/>
          <w:szCs w:val="22"/>
        </w:rPr>
        <w:t>26</w:t>
      </w:r>
      <w:r w:rsidR="00F412F6" w:rsidRPr="00872BA1">
        <w:rPr>
          <w:bCs/>
          <w:sz w:val="22"/>
          <w:szCs w:val="22"/>
        </w:rPr>
        <w:t>.0</w:t>
      </w:r>
      <w:r w:rsidR="00F412F6">
        <w:rPr>
          <w:bCs/>
          <w:sz w:val="22"/>
          <w:szCs w:val="22"/>
        </w:rPr>
        <w:t>7</w:t>
      </w:r>
      <w:r w:rsidR="00F412F6" w:rsidRPr="00872BA1">
        <w:rPr>
          <w:bCs/>
          <w:sz w:val="22"/>
          <w:szCs w:val="22"/>
        </w:rPr>
        <w:t>.2021 протокол №</w:t>
      </w:r>
      <w:r w:rsidR="00F412F6">
        <w:rPr>
          <w:bCs/>
          <w:sz w:val="22"/>
          <w:szCs w:val="22"/>
        </w:rPr>
        <w:t>16</w:t>
      </w:r>
      <w:r w:rsidRPr="00872BA1"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872BA1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BB7DFD">
        <w:trPr>
          <w:trHeight w:val="241"/>
        </w:trPr>
        <w:tc>
          <w:tcPr>
            <w:tcW w:w="16160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872BA1" w:rsidTr="006D7DE2">
        <w:trPr>
          <w:trHeight w:val="9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872BA1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72BA1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872BA1" w:rsidRDefault="00C525CA" w:rsidP="001C4327">
            <w:pPr>
              <w:ind w:right="-25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872BA1" w:rsidRDefault="00C525CA" w:rsidP="00C525CA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872B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872BA1" w:rsidTr="00AC330B">
        <w:trPr>
          <w:trHeight w:val="1607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872BA1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80833">
        <w:trPr>
          <w:trHeight w:val="8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80833">
        <w:trPr>
          <w:trHeight w:val="668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AC330B">
        <w:trPr>
          <w:trHeight w:val="806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872BA1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880AF9">
        <w:trPr>
          <w:trHeight w:val="56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 II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65398">
        <w:trPr>
          <w:trHeight w:val="55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872BA1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</w:t>
            </w:r>
            <w:r w:rsidR="000A00D0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1F6B70">
        <w:trPr>
          <w:trHeight w:val="122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063183" w:rsidRPr="00872BA1" w:rsidRDefault="00C525CA" w:rsidP="001F6B7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AD3D73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  <w:p w:rsidR="001F6B70" w:rsidRDefault="001F6B70" w:rsidP="00397DF6">
            <w:pPr>
              <w:ind w:left="-109" w:right="-103" w:hanging="109"/>
              <w:jc w:val="center"/>
              <w:rPr>
                <w:bCs/>
                <w:i/>
                <w:sz w:val="20"/>
                <w:szCs w:val="20"/>
              </w:rPr>
            </w:pPr>
            <w:r w:rsidRPr="00872BA1">
              <w:rPr>
                <w:bCs/>
                <w:sz w:val="22"/>
                <w:szCs w:val="22"/>
              </w:rPr>
              <w:t xml:space="preserve"> </w:t>
            </w:r>
          </w:p>
          <w:p w:rsidR="00397DF6" w:rsidRPr="00872BA1" w:rsidRDefault="00397DF6" w:rsidP="00397DF6">
            <w:pPr>
              <w:ind w:left="-109" w:right="-103" w:hanging="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C525CA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  <w:rPr>
                <w:color w:val="000000"/>
              </w:rPr>
            </w:pPr>
            <w:r w:rsidRPr="00872BA1">
              <w:t xml:space="preserve">Проверка использования средств окружного бюджета, предоставленных </w:t>
            </w:r>
            <w:r w:rsidRPr="00872BA1">
              <w:rPr>
                <w:color w:val="000000"/>
              </w:rPr>
              <w:t>в 2020 году</w:t>
            </w:r>
            <w:r w:rsidRPr="00872BA1">
              <w:t xml:space="preserve"> в форме субсидий </w:t>
            </w:r>
            <w:r w:rsidRPr="00872BA1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  <w:r w:rsidR="00063183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AE0B2C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Аудит эффективности реализации </w:t>
            </w:r>
            <w:r w:rsidR="00AE0B2C" w:rsidRPr="00872BA1">
              <w:t>в 2018-202</w:t>
            </w:r>
            <w:r w:rsidR="00AE0B2C">
              <w:t>1</w:t>
            </w:r>
            <w:r w:rsidR="00AE0B2C" w:rsidRPr="00872BA1">
              <w:t xml:space="preserve"> годах </w:t>
            </w:r>
            <w:r w:rsidRPr="00872BA1">
              <w:t xml:space="preserve">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C525CA" w:rsidRPr="00872BA1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72BA1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872BA1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Свод </w:t>
            </w: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результативности реализации в 2017-2020 годах Ведомственной целевой программы «Привлечение молодых специалистов и закрепление медицинских работников, имеющих высшее медицинское образование, и специалистов с высшим профессиональным образованием в медицинские организации округа» Государственной программы «Развитие здравоохранения Чукотского автономного округа» </w:t>
            </w:r>
          </w:p>
          <w:p w:rsidR="00BC5085" w:rsidRPr="00872BA1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"/>
              <w:jc w:val="both"/>
            </w:pPr>
            <w:r w:rsidRPr="00872BA1">
              <w:rPr>
                <w:b w:val="0"/>
              </w:rPr>
              <w:t>Проверка использования бюджетных средств, направленных в 2020 году 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мероприятие со Счетной палатой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муниципальный район</w:t>
            </w:r>
          </w:p>
          <w:p w:rsidR="00A32A71" w:rsidRPr="00872BA1" w:rsidRDefault="00A32A71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872BA1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0" w:name="_Hlk57969706"/>
            <w:r w:rsidRPr="00872BA1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в 2020 году и истекшем периоде 2021 года на реализацию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</w:t>
            </w:r>
          </w:p>
          <w:p w:rsidR="00BC5085" w:rsidRPr="00872BA1" w:rsidRDefault="00BC5085" w:rsidP="006D7DE2">
            <w:pPr>
              <w:jc w:val="both"/>
              <w:rPr>
                <w:strike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1.18.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(в редакции от 08.04.2021 протокол №7)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9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установления и выплаты денежного вознаграждения лицам, замещающим государственные должности в </w:t>
            </w:r>
            <w:r w:rsidR="00B751F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уме Чукотского автономного округа</w:t>
            </w:r>
            <w:r w:rsidR="00B751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период 2017-2020 годы и 1 полугодие 2021 года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26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7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16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Обращение</w:t>
            </w:r>
            <w:r w:rsidRPr="00872BA1">
              <w:rPr>
                <w:color w:val="000000"/>
                <w:sz w:val="20"/>
                <w:szCs w:val="20"/>
              </w:rPr>
              <w:t xml:space="preserve"> Думы Чукотского автономного округа</w:t>
            </w:r>
          </w:p>
        </w:tc>
      </w:tr>
      <w:tr w:rsidR="00F412F6" w:rsidRPr="00872BA1" w:rsidTr="00F86980">
        <w:trPr>
          <w:trHeight w:val="326"/>
        </w:trPr>
        <w:tc>
          <w:tcPr>
            <w:tcW w:w="16160" w:type="dxa"/>
            <w:gridSpan w:val="5"/>
            <w:vAlign w:val="center"/>
          </w:tcPr>
          <w:p w:rsidR="00F412F6" w:rsidRPr="00872BA1" w:rsidRDefault="00F412F6" w:rsidP="00F412F6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F412F6" w:rsidRPr="00872BA1" w:rsidTr="004161F8">
        <w:trPr>
          <w:trHeight w:val="334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бюджета Чукотского территориального фонда обязательного медицинского страхования за 2020 год </w:t>
            </w:r>
          </w:p>
          <w:p w:rsidR="00F412F6" w:rsidRPr="00872BA1" w:rsidRDefault="00F412F6" w:rsidP="00F412F6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334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F412F6" w:rsidRPr="00872BA1" w:rsidTr="007D074E">
        <w:trPr>
          <w:trHeight w:val="519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F412F6" w:rsidRPr="00872BA1" w:rsidRDefault="00F412F6" w:rsidP="00F412F6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334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9355" w:type="dxa"/>
          </w:tcPr>
          <w:p w:rsidR="00F412F6" w:rsidRPr="00872BA1" w:rsidRDefault="00F412F6" w:rsidP="00F412F6"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12F6" w:rsidRDefault="00F412F6" w:rsidP="00F412F6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12F6" w:rsidRPr="00F450A7" w:rsidRDefault="00F412F6" w:rsidP="00F412F6">
            <w:pPr>
              <w:spacing w:line="18" w:lineRule="atLeast"/>
              <w:ind w:left="-105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334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549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334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ind w:right="-136" w:firstLine="18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12F6" w:rsidRDefault="00F412F6" w:rsidP="00F412F6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12F6" w:rsidRPr="00F450A7" w:rsidRDefault="00F412F6" w:rsidP="00F412F6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334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2.8.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12F6" w:rsidRDefault="00F412F6" w:rsidP="00F412F6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12F6" w:rsidRPr="00F450A7" w:rsidRDefault="00F412F6" w:rsidP="00F412F6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257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F412F6" w:rsidRPr="00872BA1" w:rsidRDefault="00F412F6" w:rsidP="00F412F6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F412F6" w:rsidRPr="00872BA1" w:rsidRDefault="00F412F6" w:rsidP="00F412F6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E5326B">
        <w:trPr>
          <w:trHeight w:val="257"/>
        </w:trPr>
        <w:tc>
          <w:tcPr>
            <w:tcW w:w="16160" w:type="dxa"/>
            <w:gridSpan w:val="5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F412F6" w:rsidRPr="00872BA1" w:rsidTr="004161F8">
        <w:trPr>
          <w:trHeight w:val="257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поступления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412F6" w:rsidRPr="00872BA1" w:rsidTr="00A30C2B">
        <w:trPr>
          <w:trHeight w:val="569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257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257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61F8">
        <w:trPr>
          <w:trHeight w:val="257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12F6" w:rsidRPr="00872BA1" w:rsidTr="0041257D">
        <w:trPr>
          <w:trHeight w:val="383"/>
        </w:trPr>
        <w:tc>
          <w:tcPr>
            <w:tcW w:w="16160" w:type="dxa"/>
            <w:gridSpan w:val="5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F412F6" w:rsidRPr="00872BA1" w:rsidTr="004161F8">
        <w:trPr>
          <w:trHeight w:val="383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412F6" w:rsidRPr="00872BA1" w:rsidTr="004161F8">
        <w:trPr>
          <w:trHeight w:val="334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F412F6" w:rsidRPr="00872BA1" w:rsidTr="00880AF9">
        <w:trPr>
          <w:trHeight w:val="1599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4.3.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872BA1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872BA1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872BA1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F412F6" w:rsidRPr="00872BA1" w:rsidTr="004161F8">
        <w:trPr>
          <w:trHeight w:val="334"/>
        </w:trPr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412F6" w:rsidRPr="00872BA1" w:rsidTr="00166C57">
        <w:trPr>
          <w:trHeight w:val="296"/>
        </w:trPr>
        <w:tc>
          <w:tcPr>
            <w:tcW w:w="16160" w:type="dxa"/>
            <w:gridSpan w:val="5"/>
          </w:tcPr>
          <w:p w:rsidR="00F412F6" w:rsidRPr="00872BA1" w:rsidRDefault="00F412F6" w:rsidP="00F412F6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4161F8">
        <w:trPr>
          <w:trHeight w:val="682"/>
        </w:trPr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4161F8">
        <w:trPr>
          <w:trHeight w:val="468"/>
        </w:trPr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Головачёва Н.В.,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2D4733">
        <w:trPr>
          <w:trHeight w:val="494"/>
        </w:trPr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4161F8">
        <w:trPr>
          <w:trHeight w:val="630"/>
        </w:trPr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Гаврилов Н.Е.,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880AF9">
        <w:trPr>
          <w:trHeight w:val="183"/>
        </w:trPr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F412F6" w:rsidRPr="00872BA1" w:rsidRDefault="00F412F6" w:rsidP="00F412F6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12F6" w:rsidRPr="00872BA1" w:rsidRDefault="00F412F6" w:rsidP="00F412F6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4161F8">
        <w:trPr>
          <w:trHeight w:val="710"/>
        </w:trPr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заместитель Председателя, </w:t>
            </w:r>
          </w:p>
          <w:p w:rsidR="00F412F6" w:rsidRPr="00872BA1" w:rsidRDefault="00F412F6" w:rsidP="00F412F6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</w:t>
            </w:r>
          </w:p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965398">
        <w:trPr>
          <w:trHeight w:val="733"/>
        </w:trPr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5.11.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F412F6" w:rsidRPr="00872BA1" w:rsidRDefault="00F412F6" w:rsidP="00F412F6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12F6" w:rsidRPr="00872BA1" w:rsidTr="004161F8">
        <w:trPr>
          <w:trHeight w:val="283"/>
        </w:trPr>
        <w:tc>
          <w:tcPr>
            <w:tcW w:w="568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spacing w:line="18" w:lineRule="atLeast"/>
              <w:ind w:left="-108" w:right="-104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872BA1">
              <w:rPr>
                <w:sz w:val="22"/>
                <w:szCs w:val="22"/>
              </w:rPr>
              <w:t>Ерошевич</w:t>
            </w:r>
            <w:proofErr w:type="spellEnd"/>
            <w:r w:rsidRPr="00872BA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417" w:rsidRDefault="00F80417">
      <w:r>
        <w:separator/>
      </w:r>
    </w:p>
  </w:endnote>
  <w:endnote w:type="continuationSeparator" w:id="0">
    <w:p w:rsidR="00F80417" w:rsidRDefault="00F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417" w:rsidRDefault="00F80417">
      <w:r>
        <w:separator/>
      </w:r>
    </w:p>
  </w:footnote>
  <w:footnote w:type="continuationSeparator" w:id="0">
    <w:p w:rsidR="00F80417" w:rsidRDefault="00F8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19EA"/>
    <w:rsid w:val="00084B04"/>
    <w:rsid w:val="00086D42"/>
    <w:rsid w:val="000A00D0"/>
    <w:rsid w:val="000A067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1F6B70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3AA4"/>
    <w:rsid w:val="003151D0"/>
    <w:rsid w:val="003207F3"/>
    <w:rsid w:val="0032115A"/>
    <w:rsid w:val="00322D87"/>
    <w:rsid w:val="003230B4"/>
    <w:rsid w:val="00324121"/>
    <w:rsid w:val="003407D7"/>
    <w:rsid w:val="0034147F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5C91"/>
    <w:rsid w:val="00956222"/>
    <w:rsid w:val="009571EE"/>
    <w:rsid w:val="0096523A"/>
    <w:rsid w:val="00965398"/>
    <w:rsid w:val="00966982"/>
    <w:rsid w:val="0096778B"/>
    <w:rsid w:val="00972FAE"/>
    <w:rsid w:val="00973392"/>
    <w:rsid w:val="009737A0"/>
    <w:rsid w:val="00975274"/>
    <w:rsid w:val="00976219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51F7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390B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12F6"/>
    <w:rsid w:val="00F439B9"/>
    <w:rsid w:val="00F43D44"/>
    <w:rsid w:val="00F44442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416E-5B44-464F-9A44-90B66331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1542</Words>
  <Characters>11184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5</cp:revision>
  <cp:lastPrinted>2021-04-28T22:14:00Z</cp:lastPrinted>
  <dcterms:created xsi:type="dcterms:W3CDTF">2021-09-09T22:12:00Z</dcterms:created>
  <dcterms:modified xsi:type="dcterms:W3CDTF">2021-09-12T21:28:00Z</dcterms:modified>
</cp:coreProperties>
</file>