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6B" w:rsidRPr="00FC2D2C" w:rsidRDefault="006A0D6B" w:rsidP="006A0D6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D82D34">
        <w:rPr>
          <w:rFonts w:ascii="Times New Roman" w:hAnsi="Times New Roman" w:cs="Times New Roman"/>
          <w:sz w:val="28"/>
          <w:szCs w:val="28"/>
        </w:rPr>
        <w:t>ом</w:t>
      </w:r>
      <w:r w:rsidRPr="00A51B9A">
        <w:rPr>
          <w:rFonts w:ascii="Times New Roman" w:hAnsi="Times New Roman" w:cs="Times New Roman"/>
          <w:sz w:val="28"/>
          <w:szCs w:val="28"/>
        </w:rPr>
        <w:t xml:space="preserve"> работы Счетной палаты Чукотского авт</w:t>
      </w:r>
      <w:r>
        <w:rPr>
          <w:rFonts w:ascii="Times New Roman" w:hAnsi="Times New Roman" w:cs="Times New Roman"/>
          <w:sz w:val="28"/>
          <w:szCs w:val="28"/>
        </w:rPr>
        <w:t>ономного округа на 201</w:t>
      </w:r>
      <w:r w:rsidR="00D82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A51B9A">
        <w:rPr>
          <w:rFonts w:ascii="Times New Roman" w:hAnsi="Times New Roman" w:cs="Times New Roman"/>
          <w:sz w:val="28"/>
          <w:szCs w:val="28"/>
        </w:rPr>
        <w:t>Департаменте промышленной политики Чукотского автономного округа (далее – Департамент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51B9A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Cs/>
          <w:sz w:val="28"/>
          <w:szCs w:val="28"/>
        </w:rPr>
        <w:t>экспертно-аналитическ</w:t>
      </w:r>
      <w:r w:rsidRPr="00A51B9A">
        <w:rPr>
          <w:rFonts w:ascii="Times New Roman" w:hAnsi="Times New Roman" w:cs="Times New Roman"/>
          <w:bCs/>
          <w:sz w:val="28"/>
          <w:szCs w:val="28"/>
        </w:rPr>
        <w:t xml:space="preserve">ое 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«Анализ объе</w:t>
      </w:r>
      <w:r w:rsidRPr="00BA4367">
        <w:rPr>
          <w:rFonts w:ascii="Times New Roman" w:eastAsia="Times New Roman" w:hAnsi="Times New Roman" w:cs="Times New Roman"/>
          <w:sz w:val="28"/>
          <w:szCs w:val="28"/>
        </w:rPr>
        <w:t>мов капитальных вложений за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367">
        <w:rPr>
          <w:rFonts w:ascii="Times New Roman" w:eastAsia="Times New Roman" w:hAnsi="Times New Roman" w:cs="Times New Roman"/>
          <w:sz w:val="28"/>
          <w:szCs w:val="28"/>
        </w:rPr>
        <w:t>т средств окружного бюджета,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367">
        <w:rPr>
          <w:rFonts w:ascii="Times New Roman" w:eastAsia="Times New Roman" w:hAnsi="Times New Roman" w:cs="Times New Roman"/>
          <w:sz w:val="28"/>
          <w:szCs w:val="28"/>
        </w:rPr>
        <w:t>нных в объекты, строительство которых не начиналось, по состоянию на 1 января 2019 года»</w:t>
      </w:r>
      <w:r>
        <w:rPr>
          <w:rFonts w:ascii="Times New Roman" w:hAnsi="Times New Roman" w:cs="Times New Roman"/>
          <w:sz w:val="28"/>
          <w:szCs w:val="28"/>
        </w:rPr>
        <w:t>, в результате которого установлено следующее</w:t>
      </w:r>
      <w:r w:rsidR="00801207">
        <w:rPr>
          <w:rFonts w:ascii="Times New Roman" w:hAnsi="Times New Roman" w:cs="Times New Roman"/>
          <w:sz w:val="28"/>
          <w:szCs w:val="28"/>
        </w:rPr>
        <w:t>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года, согласно данным бюджетной отчетности Департамента (с учетом подведомственных учреждений – государственные казённые</w:t>
      </w:r>
      <w:r w:rsidRPr="00A2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6EFC">
        <w:rPr>
          <w:rFonts w:ascii="Times New Roman" w:hAnsi="Times New Roman" w:cs="Times New Roman"/>
          <w:sz w:val="28"/>
          <w:szCs w:val="28"/>
        </w:rPr>
        <w:t>«Управление автомобильных дорог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6EFC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5D46" w:rsidRPr="00A75D46">
        <w:rPr>
          <w:rFonts w:ascii="Times New Roman" w:hAnsi="Times New Roman" w:cs="Times New Roman"/>
          <w:sz w:val="28"/>
          <w:szCs w:val="28"/>
        </w:rPr>
        <w:t xml:space="preserve"> </w:t>
      </w:r>
      <w:r w:rsidR="00A75D46">
        <w:rPr>
          <w:rFonts w:ascii="Times New Roman" w:hAnsi="Times New Roman" w:cs="Times New Roman"/>
          <w:sz w:val="28"/>
          <w:szCs w:val="28"/>
        </w:rPr>
        <w:t>по форме «С</w:t>
      </w:r>
      <w:r w:rsidR="00A75D46">
        <w:rPr>
          <w:rFonts w:ascii="Times New Roman" w:eastAsia="Times New Roman" w:hAnsi="Times New Roman" w:cs="Times New Roman"/>
          <w:sz w:val="28"/>
          <w:szCs w:val="28"/>
        </w:rPr>
        <w:t>ведения о вложениях в объекты недвижимого имущества, объектах незавершенного строительства»,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объектов, строительство которых не начиналось, составляет 52 объекта. 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капитальных вложений, строительство по которым не начиналось, составила 450 327,54 тыс. рублей и увеличилась по сравнению с 1 января 2018 года на 108 748,42 тыс. рублей, или на 31,8%.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бюджетной отчетности Департамента (с учетом подведомственных учреждений) установлено, что данные по отдельным показателям в ней отсутствуют или являются недостоверными. 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0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декабря 2011 года №402-ФЗ «О бухгалтерском учете» инвентаризация объектов по счету «Вложения в основные средства – недвижимое имущество» в Государственном казённом</w:t>
      </w:r>
      <w:r w:rsidRPr="00A2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26EFC">
        <w:rPr>
          <w:rFonts w:ascii="Times New Roman" w:hAnsi="Times New Roman" w:cs="Times New Roman"/>
          <w:sz w:val="28"/>
          <w:szCs w:val="28"/>
        </w:rPr>
        <w:t>«Управление автомобильных дорог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автомобильных дорог) </w:t>
      </w:r>
      <w:r w:rsidRPr="00074E52">
        <w:rPr>
          <w:rFonts w:ascii="Times New Roman" w:hAnsi="Times New Roman" w:cs="Times New Roman"/>
          <w:sz w:val="28"/>
          <w:szCs w:val="28"/>
        </w:rPr>
        <w:t>по состоянию на 1</w:t>
      </w:r>
      <w:r w:rsidR="00801207">
        <w:rPr>
          <w:rFonts w:ascii="Times New Roman" w:hAnsi="Times New Roman" w:cs="Times New Roman"/>
          <w:sz w:val="28"/>
          <w:szCs w:val="28"/>
        </w:rPr>
        <w:t> </w:t>
      </w:r>
      <w:r w:rsidRPr="00074E52">
        <w:rPr>
          <w:rFonts w:ascii="Times New Roman" w:hAnsi="Times New Roman" w:cs="Times New Roman"/>
          <w:sz w:val="28"/>
          <w:szCs w:val="28"/>
        </w:rPr>
        <w:t>января 2019 года не проводилась.</w:t>
      </w:r>
    </w:p>
    <w:p w:rsidR="006A0D6B" w:rsidRDefault="006A0D6B" w:rsidP="006A0D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бюджетной отчетности Департамента по состоянию на 1 января 2019 года отражены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 объекта на общую сумму 425 923,44 тыс. рублей, финансовое обеспечение которых приостановлено (82,7% </w:t>
      </w:r>
      <w:r w:rsidRPr="00074E52">
        <w:rPr>
          <w:rFonts w:ascii="Times New Roman" w:eastAsia="Times New Roman" w:hAnsi="Times New Roman" w:cs="Times New Roman"/>
          <w:sz w:val="28"/>
          <w:szCs w:val="28"/>
        </w:rPr>
        <w:t>от общего количества объектов капитальных вложений в объекты незавершенного строительства)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объектов капитальных вложений, строительство которых не начиналось, по состоянию на 1 января 2019 года, в бюджетной отчетности Департамента числи</w:t>
      </w:r>
      <w:r w:rsidR="0080120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40 объектов на общую сумму вложений 236 961,74 тыс. рублей, финансирование которых начато более 3 лет назад: 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9 объектам - в период 1993-2004 годов;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31 объектам – в период 2005-2015 годов.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вложений в данные объекты составляет 105 573,24 тыс. рублей и 131 388,50 тыс. рублей соответственно.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проектно-изыскательских работ и работ по разработке проектно-сметной документации в количестве 49 единиц с объемом вложений 437 860,48 тыс. рублей не используются, строительство объектов, для которых выполнялись указанные работы, по состоянию на 1 января 2019 года не начиналось.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большого объема неиспользуемых проектно-сметной документации и результатов проектно-изыскательских работ свидетельствует о неэффективном использовании бюджетных средств, поскольку конечный результат, который предусматривает создание объекта капитального строительства, не достигнут, а по истечении нескольких лет соответствующая документация становится неактуальной, в связи с чем потребуется ее корректировка либо разработка новой документации, что, в свою очередь, приведет к дополнительным бюджетным расходам.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данным проверки установлено в составе незавершенного строительства числятся затраты в сумме 210 363,33 тыс. рублей на разработку проектно-сметной документации по 34 объектам Управления автомобильных дорог, которая остается невостребованной более трех лет (с 1993 года), что свидетельствует о неэффективном использовании ресурсов, созданных за счет бюджетных средств, и создает риски потери актуальности проектной документации.</w:t>
      </w:r>
    </w:p>
    <w:p w:rsidR="006A0D6B" w:rsidRDefault="00A75D46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0D6B">
        <w:rPr>
          <w:rFonts w:ascii="Times New Roman" w:hAnsi="Times New Roman" w:cs="Times New Roman"/>
          <w:sz w:val="28"/>
          <w:szCs w:val="28"/>
        </w:rPr>
        <w:t>оличество объектов, строительство которых не начиналось по состоянию на 1 января 2019 года, не уменьшилось и сохранилось на уровне начала 2018 года. Из чего следует, что</w:t>
      </w:r>
      <w:r w:rsidR="006A0D6B" w:rsidRPr="00A50CE3">
        <w:rPr>
          <w:rFonts w:ascii="Times New Roman" w:hAnsi="Times New Roman" w:cs="Times New Roman"/>
          <w:sz w:val="28"/>
          <w:szCs w:val="28"/>
        </w:rPr>
        <w:t xml:space="preserve"> система планирования и использования бюджетных средств на строительство (реконструкцию) не направлена на концентрацию финансовых средств на финансирование объектов, по которым проведены проектно-изыскательские работы и разработана проектно-сметная документация, достаточных для начала строительства в целях достижения социально-экономических результатов, которые предусматривались при обосновании необходимости капитальных вложений.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наличие значительного числа объектов незавершенного строительства, а также затягивание сроков строительства препятствует достижению целей и решению задач социально-экономического развития, поскольку не достигается социально-экономический эффект, достижение которого прогнозировалось при завершении строительства соответствующих объектов.</w:t>
      </w:r>
    </w:p>
    <w:p w:rsidR="006A0D6B" w:rsidRDefault="00A75D46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6A0D6B">
        <w:rPr>
          <w:rFonts w:ascii="Times New Roman" w:hAnsi="Times New Roman" w:cs="Times New Roman"/>
          <w:sz w:val="28"/>
          <w:szCs w:val="28"/>
        </w:rPr>
        <w:t xml:space="preserve"> результативности мер, принимаемых органами исполнительной власти Чукотского автономного округа, по выявлению, сокращению объемов и количества объектов незавершенного строит</w:t>
      </w:r>
      <w:r>
        <w:rPr>
          <w:rFonts w:ascii="Times New Roman" w:hAnsi="Times New Roman" w:cs="Times New Roman"/>
          <w:sz w:val="28"/>
          <w:szCs w:val="28"/>
        </w:rPr>
        <w:t>ельства показал</w:t>
      </w:r>
      <w:r w:rsidR="006A0D6B">
        <w:rPr>
          <w:rFonts w:ascii="Times New Roman" w:hAnsi="Times New Roman" w:cs="Times New Roman"/>
          <w:sz w:val="28"/>
          <w:szCs w:val="28"/>
        </w:rPr>
        <w:t>, что в Чукотском автономном округе не приняты достаточные меры, направленные на снижение объемов и количества объектов незавершенного строительства, в том числе связанные с проведением инвентаризации, функционированием комиссий, в полномочия которых входят анализ объектов незавершенного строительства и принятие решений по их дальнейшему использованию.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объем и количество выявленных в ходе экспертно-аналитического мероприятия объектов незавершенного строительства свидетельствует о недостаточности результативности мер, принимаемых Департаментом, направленных на выявление и сокращение объемов и количества объектов незавершенного строительства.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экспертно-аналитического мероприятия установлена необходимость проведения инвентаризации объектов незавершенного строительства (в том числе объектов, по которым строительство не начиналось) и установления состава и структуры указанных объектов, формирования конкретных мер по поэтапному сокращению количества и объема незавершенного строительства Чукотского автономного округа с использованием бюджетных средств.</w:t>
      </w:r>
    </w:p>
    <w:p w:rsidR="006A0D6B" w:rsidRDefault="006A0D6B" w:rsidP="006A0D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E06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вышеизложенного, Правительству Чукотского автономного округа предложено: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инвентаризацию объектов незавершенного строительства (в том числе объектов, по которым строительство не начиналось) и установить состав и структуру указанных объектов, по результатам которого сформировать конкретные меры по поэтапному сокращению количества и объема незавершенного строительства Чукотского автономного округа с использованием бюджетных средств, аналогично мероприятиям, предусмотренным </w:t>
      </w:r>
      <w:r w:rsidRPr="00340B78">
        <w:rPr>
          <w:rFonts w:ascii="Times New Roman" w:hAnsi="Times New Roman" w:cs="Times New Roman"/>
          <w:sz w:val="28"/>
          <w:szCs w:val="28"/>
        </w:rPr>
        <w:t>Перечнем поручений Президента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40B78">
        <w:rPr>
          <w:rFonts w:ascii="Times New Roman" w:hAnsi="Times New Roman" w:cs="Times New Roman"/>
          <w:sz w:val="28"/>
          <w:szCs w:val="28"/>
        </w:rPr>
        <w:t>2016 года №Пр-1138ГС;</w:t>
      </w:r>
    </w:p>
    <w:p w:rsidR="006A0D6B" w:rsidRDefault="006A0D6B" w:rsidP="006A0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орган исполнительной власти Чукотского автономного округа, ответственный за координацию, мониторинг и анализ результатов деятельности органов исполнительной власти Чукотского автономного округа по реализации мероприятий по снижению объемов и количества объектов незавершенного строительства (включая объекты капитальных вложений, строительство которых не начиналось), а также ведение реестра объектов незавершенного строительства, при которых использованы бюджетные средства;</w:t>
      </w:r>
    </w:p>
    <w:p w:rsidR="00801207" w:rsidRDefault="006A0D6B" w:rsidP="00801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поэтапный план снижения объемов и количества объектов незавершенного строительства, финансирование которых осуществлялось за счет бюджетных средств с учетом утверждения главными распорядителями средств окружного бюджета ведомственных планов по снижению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бъемов и количества объектов незавершенного строительства, находящихся на их балансе и балансах подведомственных учреждений.</w:t>
      </w:r>
    </w:p>
    <w:p w:rsidR="00801207" w:rsidRDefault="00801207" w:rsidP="00801207">
      <w:pPr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результатам экспертно-аналитического мероприятия утвержден </w:t>
      </w:r>
      <w:r w:rsidRPr="00AF4918">
        <w:rPr>
          <w:rFonts w:ascii="Times New Roman" w:eastAsiaTheme="minorEastAsia" w:hAnsi="Times New Roman" w:cs="Times New Roman"/>
          <w:color w:val="auto"/>
          <w:sz w:val="28"/>
          <w:szCs w:val="28"/>
        </w:rPr>
        <w:t>Коллегии Счетной палаты Чукотского автономного 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круга и направлен в адрес Думы и Губернатора Чукотского автономного округа.</w:t>
      </w:r>
    </w:p>
    <w:p w:rsidR="00801207" w:rsidRDefault="00801207" w:rsidP="00801207">
      <w:pPr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В целях устранения выявленных нарушений в Департамент промышленной политики Чукотского автономного округа направлено представление, а также информационные письма в Правительство и Департамент финансов, экономики и имущественных отношений Чукотского автономного округа с предложениями по принятию мер по снижению объемов и количества объектов незавершенного строительства, финансирование которых осуществлялось за счет бюджетных средств.</w:t>
      </w:r>
    </w:p>
    <w:p w:rsidR="00801207" w:rsidRDefault="00801207" w:rsidP="00801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1207" w:rsidSect="00A75D4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D" w:rsidRDefault="007E777D" w:rsidP="00801207">
      <w:r>
        <w:separator/>
      </w:r>
    </w:p>
  </w:endnote>
  <w:endnote w:type="continuationSeparator" w:id="0">
    <w:p w:rsidR="007E777D" w:rsidRDefault="007E777D" w:rsidP="008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D" w:rsidRDefault="007E777D" w:rsidP="00801207">
      <w:r>
        <w:separator/>
      </w:r>
    </w:p>
  </w:footnote>
  <w:footnote w:type="continuationSeparator" w:id="0">
    <w:p w:rsidR="007E777D" w:rsidRDefault="007E777D" w:rsidP="0080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796180"/>
      <w:docPartObj>
        <w:docPartGallery w:val="Page Numbers (Top of Page)"/>
        <w:docPartUnique/>
      </w:docPartObj>
    </w:sdtPr>
    <w:sdtEndPr/>
    <w:sdtContent>
      <w:p w:rsidR="00801207" w:rsidRDefault="00801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F0">
          <w:rPr>
            <w:noProof/>
          </w:rPr>
          <w:t>2</w:t>
        </w:r>
        <w:r>
          <w:fldChar w:fldCharType="end"/>
        </w:r>
      </w:p>
    </w:sdtContent>
  </w:sdt>
  <w:p w:rsidR="00801207" w:rsidRDefault="00801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4"/>
    <w:rsid w:val="00180A24"/>
    <w:rsid w:val="001B7F7A"/>
    <w:rsid w:val="00555915"/>
    <w:rsid w:val="005F1C55"/>
    <w:rsid w:val="006A0D6B"/>
    <w:rsid w:val="007E777D"/>
    <w:rsid w:val="007F2DF0"/>
    <w:rsid w:val="00801207"/>
    <w:rsid w:val="00A75D46"/>
    <w:rsid w:val="00D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DAC83-4582-4A9E-AF86-C9BC27ED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D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2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2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D4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GR1</cp:lastModifiedBy>
  <cp:revision>5</cp:revision>
  <cp:lastPrinted>2019-05-07T22:53:00Z</cp:lastPrinted>
  <dcterms:created xsi:type="dcterms:W3CDTF">2019-05-05T03:27:00Z</dcterms:created>
  <dcterms:modified xsi:type="dcterms:W3CDTF">2019-05-07T22:53:00Z</dcterms:modified>
</cp:coreProperties>
</file>