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12" w:rsidRDefault="00A86412" w:rsidP="00A86412">
      <w:pPr>
        <w:pStyle w:val="Style1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412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A86412" w:rsidRDefault="00A86412" w:rsidP="00A86412">
      <w:pPr>
        <w:pStyle w:val="Style1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412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A86412" w:rsidRDefault="00A86412" w:rsidP="00A86412">
      <w:pPr>
        <w:pStyle w:val="Style1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12" w:rsidRDefault="00A86412" w:rsidP="00A86412">
      <w:pPr>
        <w:pStyle w:val="Style1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BC" w:rsidRDefault="003F5EBC" w:rsidP="00A86412">
      <w:pPr>
        <w:pStyle w:val="Style1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BC" w:rsidRDefault="003F5EBC" w:rsidP="00A86412">
      <w:pPr>
        <w:pStyle w:val="Style1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12" w:rsidRDefault="00A86412" w:rsidP="00A86412">
      <w:pPr>
        <w:pStyle w:val="Style1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412">
        <w:rPr>
          <w:rFonts w:ascii="Times New Roman" w:hAnsi="Times New Roman" w:cs="Times New Roman"/>
          <w:sz w:val="28"/>
          <w:szCs w:val="28"/>
        </w:rPr>
        <w:t>ПИСЬМО от 21 марта 2016 г. N 18-2/10/П-1526</w:t>
      </w:r>
    </w:p>
    <w:p w:rsidR="00A86412" w:rsidRDefault="00A86412" w:rsidP="00A86412">
      <w:pPr>
        <w:pStyle w:val="Style1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412">
        <w:rPr>
          <w:rFonts w:ascii="Times New Roman" w:hAnsi="Times New Roman" w:cs="Times New Roman"/>
          <w:sz w:val="28"/>
          <w:szCs w:val="28"/>
        </w:rPr>
        <w:t>О КРИТЕРИЯХ ПРИВЛЕЧЕНИЯ К ОТВЕТСТВЕННОСТИ ЗА КОРРУПЦИОННЫЕ ПРАВОНАРУШЕНИЯ</w:t>
      </w:r>
    </w:p>
    <w:p w:rsidR="00A86412" w:rsidRDefault="00A86412" w:rsidP="00A86412">
      <w:pPr>
        <w:pStyle w:val="Style14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412" w:rsidRDefault="00A86412" w:rsidP="00A86412">
      <w:pPr>
        <w:pStyle w:val="Style14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41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"б" пункта 6 перечня поручений Президента Российской Федерации от 14 ноября 2013 г. N Пр-2689 по итогам заседания Совета при Президенте Российской Федерации по противодействию коррупции 30 октября 2013 г. и подпунктом "а" пункта 2 раздела 1 протокола заседания президиума Совета при Президенте Российской Федерации по противодействию коррупции от 12 ноября 2014 г.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 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письмом Минтруда России от 13 ноября 2015 г. N 18-2/10/П-7073, судебной практики по рассмотрению дел о привлечении к ответственности за совершение коррупционных правонарушений подготовлен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 </w:t>
      </w:r>
    </w:p>
    <w:p w:rsidR="00A86412" w:rsidRDefault="00A86412" w:rsidP="00A86412">
      <w:pPr>
        <w:pStyle w:val="Style14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412">
        <w:rPr>
          <w:rFonts w:ascii="Times New Roman" w:hAnsi="Times New Roman" w:cs="Times New Roman"/>
          <w:sz w:val="28"/>
          <w:szCs w:val="28"/>
        </w:rPr>
        <w:t xml:space="preserve">В этой связи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рекомендуется использовать указанный обзор в своей деятельности. </w:t>
      </w:r>
    </w:p>
    <w:p w:rsidR="00A86412" w:rsidRDefault="00A86412" w:rsidP="00A86412">
      <w:pPr>
        <w:pStyle w:val="Style14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412" w:rsidRPr="00A86412" w:rsidRDefault="00A86412" w:rsidP="00A86412">
      <w:pPr>
        <w:pStyle w:val="Style14"/>
        <w:widowControl/>
        <w:spacing w:line="240" w:lineRule="auto"/>
        <w:rPr>
          <w:rStyle w:val="FontStyle29"/>
          <w:b w:val="0"/>
        </w:rPr>
      </w:pPr>
    </w:p>
    <w:p w:rsidR="00A86412" w:rsidRDefault="00A86412" w:rsidP="00A86412">
      <w:pPr>
        <w:pStyle w:val="Style14"/>
        <w:widowControl/>
        <w:spacing w:line="240" w:lineRule="auto"/>
        <w:rPr>
          <w:rStyle w:val="FontStyle29"/>
          <w:b w:val="0"/>
        </w:rPr>
      </w:pPr>
    </w:p>
    <w:p w:rsidR="00A86412" w:rsidRDefault="00A86412" w:rsidP="00A86412">
      <w:pPr>
        <w:pStyle w:val="Style14"/>
        <w:widowControl/>
        <w:spacing w:line="240" w:lineRule="auto"/>
        <w:rPr>
          <w:rStyle w:val="FontStyle29"/>
          <w:b w:val="0"/>
        </w:rPr>
      </w:pPr>
    </w:p>
    <w:p w:rsidR="00A86412" w:rsidRDefault="00A86412" w:rsidP="00A86412">
      <w:pPr>
        <w:pStyle w:val="Style14"/>
        <w:widowControl/>
        <w:spacing w:line="240" w:lineRule="auto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A86412" w:rsidRDefault="00A86412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</w:p>
    <w:p w:rsidR="006C41A8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lastRenderedPageBreak/>
        <w:t>Обзор</w:t>
      </w: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bookmarkStart w:id="0" w:name="_GoBack"/>
      <w:bookmarkEnd w:id="0"/>
      <w:r>
        <w:rPr>
          <w:rStyle w:val="FontStyle29"/>
        </w:rPr>
        <w:t xml:space="preserve">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457370"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457370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457370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457370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3520CE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D47323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 xml:space="preserve">счету, выданной кредитной организацией и т.п.), а </w:t>
      </w:r>
      <w:r w:rsidRPr="00D47323">
        <w:rPr>
          <w:rStyle w:val="FontStyle33"/>
        </w:rPr>
        <w:t>также иных</w:t>
      </w:r>
      <w:r w:rsidR="00457370" w:rsidRPr="00D47323">
        <w:rPr>
          <w:rStyle w:val="FontStyle33"/>
        </w:rPr>
        <w:t xml:space="preserve"> </w:t>
      </w:r>
      <w:r w:rsidRPr="00D47323">
        <w:rPr>
          <w:rStyle w:val="FontStyle33"/>
        </w:rPr>
        <w:t>причин.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 xml:space="preserve">бстоятельства, указанные в подпунктах «а» и «б» пункта 2, </w:t>
      </w:r>
      <w:r w:rsidR="001236F5" w:rsidRPr="00F00C61">
        <w:rPr>
          <w:rStyle w:val="FontStyle33"/>
          <w:b/>
        </w:rPr>
        <w:t>отраж</w:t>
      </w:r>
      <w:r w:rsidRPr="00F00C61">
        <w:rPr>
          <w:rStyle w:val="FontStyle33"/>
          <w:b/>
        </w:rPr>
        <w:t>аются</w:t>
      </w:r>
      <w:r w:rsidR="001236F5" w:rsidRPr="00F00C61">
        <w:rPr>
          <w:rStyle w:val="FontStyle33"/>
          <w:b/>
        </w:rPr>
        <w:t xml:space="preserve"> в письменных пояснениях служащего</w:t>
      </w:r>
      <w:r w:rsidR="001236F5" w:rsidRPr="001D08BB">
        <w:rPr>
          <w:rStyle w:val="FontStyle33"/>
        </w:rPr>
        <w:t>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457370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457370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 w:rsidR="00457370"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457370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lastRenderedPageBreak/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</w:r>
      <w:r w:rsidRPr="00F00C61">
        <w:rPr>
          <w:rStyle w:val="FontStyle33"/>
          <w:b/>
        </w:rPr>
        <w:t>сокрытия факта наличия банковских счетов</w:t>
      </w:r>
      <w:r w:rsidRPr="00FD10CC">
        <w:rPr>
          <w:rStyle w:val="FontStyle33"/>
        </w:rPr>
        <w:t>, движение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457370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457370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457370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D4732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457370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457370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457370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D47323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</w:p>
    <w:p w:rsidR="00D47323" w:rsidRDefault="001236F5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</w:p>
    <w:p w:rsidR="001236F5" w:rsidRPr="00FD10CC" w:rsidRDefault="001236F5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(муниципального)управления (доходов от работы по совместительству, доходов от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супруги(супруга) и несовершеннолетнего ребенка ценных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супруги(супруга) и несовершеннолетнего ребенка земельных участков,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приобретенного на льготных условиях </w:t>
      </w:r>
      <w:r w:rsidRPr="00FD10CC">
        <w:rPr>
          <w:rStyle w:val="FontStyle33"/>
        </w:rPr>
        <w:lastRenderedPageBreak/>
        <w:t>(по цене существенно ниже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457370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</w:t>
      </w:r>
      <w:r w:rsidR="00D47323">
        <w:rPr>
          <w:rStyle w:val="FontStyle33"/>
        </w:rPr>
        <w:t xml:space="preserve"> </w:t>
      </w:r>
      <w:r w:rsidRPr="00FD10CC">
        <w:rPr>
          <w:rStyle w:val="FontStyle33"/>
        </w:rPr>
        <w:t>(ых) банке</w:t>
      </w:r>
      <w:r w:rsidR="00D47323">
        <w:rPr>
          <w:rStyle w:val="FontStyle33"/>
        </w:rPr>
        <w:t xml:space="preserve"> </w:t>
      </w:r>
      <w:r w:rsidRPr="00FD10CC">
        <w:rPr>
          <w:rStyle w:val="FontStyle33"/>
        </w:rPr>
        <w:t>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D47323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</w:p>
    <w:p w:rsidR="00621381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457370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</w:t>
      </w:r>
      <w:r w:rsidR="00457370">
        <w:rPr>
          <w:rStyle w:val="FontStyle33"/>
        </w:rPr>
        <w:t xml:space="preserve"> </w:t>
      </w:r>
      <w:r w:rsidR="00FD10CC" w:rsidRPr="00FD10CC">
        <w:rPr>
          <w:rStyle w:val="FontStyle33"/>
        </w:rPr>
        <w:t>-</w:t>
      </w:r>
      <w:r w:rsidR="00457370">
        <w:rPr>
          <w:rStyle w:val="FontStyle33"/>
        </w:rPr>
        <w:t xml:space="preserve"> </w:t>
      </w:r>
      <w:r w:rsidR="00FD10CC" w:rsidRPr="00FD10CC">
        <w:rPr>
          <w:rStyle w:val="FontStyle33"/>
        </w:rPr>
        <w:t>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D47323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</w:p>
    <w:p w:rsidR="00621381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="00457370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</w:t>
      </w:r>
      <w:r w:rsidR="00187489">
        <w:rPr>
          <w:rStyle w:val="FontStyle33"/>
        </w:rPr>
        <w:t> </w:t>
      </w:r>
      <w:r w:rsidR="00863FE9" w:rsidRPr="00FC46AA">
        <w:rPr>
          <w:rStyle w:val="FontStyle33"/>
        </w:rPr>
        <w:t>000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A86412">
      <w:headerReference w:type="even" r:id="rId8"/>
      <w:headerReference w:type="default" r:id="rId9"/>
      <w:type w:val="continuous"/>
      <w:pgSz w:w="11905" w:h="16837"/>
      <w:pgMar w:top="1134" w:right="567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CF" w:rsidRDefault="00741CCF">
      <w:r>
        <w:separator/>
      </w:r>
    </w:p>
  </w:endnote>
  <w:endnote w:type="continuationSeparator" w:id="1">
    <w:p w:rsidR="00741CCF" w:rsidRDefault="00741CCF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CF" w:rsidRDefault="00741CCF">
      <w:r>
        <w:separator/>
      </w:r>
    </w:p>
  </w:footnote>
  <w:footnote w:type="continuationSeparator" w:id="1">
    <w:p w:rsidR="00741CCF" w:rsidRDefault="00741CCF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B776EB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0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12BF2"/>
    <w:rsid w:val="001203E5"/>
    <w:rsid w:val="001236F5"/>
    <w:rsid w:val="00131EE2"/>
    <w:rsid w:val="001324B4"/>
    <w:rsid w:val="00133D93"/>
    <w:rsid w:val="00187489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767F1"/>
    <w:rsid w:val="00297D08"/>
    <w:rsid w:val="002B09B9"/>
    <w:rsid w:val="003234EE"/>
    <w:rsid w:val="0033299F"/>
    <w:rsid w:val="003520CE"/>
    <w:rsid w:val="00352DEA"/>
    <w:rsid w:val="00371EB9"/>
    <w:rsid w:val="00375B5E"/>
    <w:rsid w:val="00395416"/>
    <w:rsid w:val="003C3BE2"/>
    <w:rsid w:val="003F5EBC"/>
    <w:rsid w:val="0042005F"/>
    <w:rsid w:val="0045419C"/>
    <w:rsid w:val="00457370"/>
    <w:rsid w:val="0046186A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41A8"/>
    <w:rsid w:val="006C7CC5"/>
    <w:rsid w:val="006F1D85"/>
    <w:rsid w:val="00703E39"/>
    <w:rsid w:val="007045D2"/>
    <w:rsid w:val="00736160"/>
    <w:rsid w:val="00741CCF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47550"/>
    <w:rsid w:val="00A71EF3"/>
    <w:rsid w:val="00A7264B"/>
    <w:rsid w:val="00A86412"/>
    <w:rsid w:val="00AD2DF9"/>
    <w:rsid w:val="00B16D32"/>
    <w:rsid w:val="00B734B3"/>
    <w:rsid w:val="00B776EB"/>
    <w:rsid w:val="00BD6353"/>
    <w:rsid w:val="00BE6A50"/>
    <w:rsid w:val="00BF51EC"/>
    <w:rsid w:val="00C03DB6"/>
    <w:rsid w:val="00C17A33"/>
    <w:rsid w:val="00C17AE2"/>
    <w:rsid w:val="00C21691"/>
    <w:rsid w:val="00C27FD2"/>
    <w:rsid w:val="00C63461"/>
    <w:rsid w:val="00C717D0"/>
    <w:rsid w:val="00C77C83"/>
    <w:rsid w:val="00C820BF"/>
    <w:rsid w:val="00CA7C23"/>
    <w:rsid w:val="00CB6A7F"/>
    <w:rsid w:val="00CC71EB"/>
    <w:rsid w:val="00CE1C09"/>
    <w:rsid w:val="00D2677F"/>
    <w:rsid w:val="00D37544"/>
    <w:rsid w:val="00D47323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0C61"/>
    <w:rsid w:val="00F03627"/>
    <w:rsid w:val="00F1793D"/>
    <w:rsid w:val="00F3070D"/>
    <w:rsid w:val="00FC46AA"/>
    <w:rsid w:val="00FD10CC"/>
    <w:rsid w:val="00FE47E9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8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EF35-FC2B-487A-A5C0-CE423EA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Слесарев Н.А</cp:lastModifiedBy>
  <cp:revision>14</cp:revision>
  <cp:lastPrinted>2016-10-18T22:25:00Z</cp:lastPrinted>
  <dcterms:created xsi:type="dcterms:W3CDTF">2016-06-23T20:53:00Z</dcterms:created>
  <dcterms:modified xsi:type="dcterms:W3CDTF">2016-10-18T22:26:00Z</dcterms:modified>
</cp:coreProperties>
</file>