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7A" w:rsidRPr="000F2F47" w:rsidRDefault="00534D7A" w:rsidP="00534D7A">
      <w:pPr>
        <w:pStyle w:val="af"/>
        <w:ind w:left="-851" w:right="-4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2F47">
        <w:rPr>
          <w:rFonts w:ascii="Times New Roman" w:hAnsi="Times New Roman" w:cs="Times New Roman"/>
          <w:b/>
          <w:sz w:val="28"/>
          <w:szCs w:val="28"/>
        </w:rPr>
        <w:t>СЧЕТНАЯ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47">
        <w:rPr>
          <w:rFonts w:ascii="Times New Roman" w:hAnsi="Times New Roman" w:cs="Times New Roman"/>
          <w:b/>
          <w:sz w:val="28"/>
          <w:szCs w:val="28"/>
        </w:rPr>
        <w:t xml:space="preserve"> ПАЛАТА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47">
        <w:rPr>
          <w:rFonts w:ascii="Times New Roman" w:hAnsi="Times New Roman" w:cs="Times New Roman"/>
          <w:b/>
          <w:sz w:val="28"/>
          <w:szCs w:val="28"/>
        </w:rPr>
        <w:t xml:space="preserve"> ЧУКОТСКОГО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47">
        <w:rPr>
          <w:rFonts w:ascii="Times New Roman" w:hAnsi="Times New Roman" w:cs="Times New Roman"/>
          <w:b/>
          <w:sz w:val="28"/>
          <w:szCs w:val="28"/>
        </w:rPr>
        <w:t>АВТОНОМНОГО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F47">
        <w:rPr>
          <w:rFonts w:ascii="Times New Roman" w:hAnsi="Times New Roman" w:cs="Times New Roman"/>
          <w:b/>
          <w:sz w:val="28"/>
          <w:szCs w:val="28"/>
        </w:rPr>
        <w:t xml:space="preserve"> ОКРУГА</w:t>
      </w:r>
    </w:p>
    <w:p w:rsidR="00534D7A" w:rsidRPr="002F6F1B" w:rsidRDefault="00534D7A" w:rsidP="00534D7A">
      <w:pPr>
        <w:pStyle w:val="af"/>
        <w:ind w:left="-851" w:right="-42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6F1B">
        <w:rPr>
          <w:rFonts w:ascii="Times New Roman" w:hAnsi="Times New Roman" w:cs="Times New Roman"/>
          <w:b/>
          <w:sz w:val="20"/>
          <w:szCs w:val="20"/>
        </w:rPr>
        <w:t>─────────────────────────────────────────────</w:t>
      </w:r>
      <w:r>
        <w:rPr>
          <w:rFonts w:ascii="Times New Roman" w:hAnsi="Times New Roman" w:cs="Times New Roman"/>
          <w:b/>
          <w:sz w:val="20"/>
          <w:szCs w:val="20"/>
        </w:rPr>
        <w:t>────────────────────</w:t>
      </w:r>
    </w:p>
    <w:p w:rsidR="00534D7A" w:rsidRDefault="00534D7A" w:rsidP="007C741E">
      <w:pPr>
        <w:shd w:val="clear" w:color="auto" w:fill="FFFFFF"/>
        <w:spacing w:after="0" w:line="240" w:lineRule="auto"/>
        <w:jc w:val="right"/>
      </w:pPr>
    </w:p>
    <w:p w:rsidR="00534D7A" w:rsidRDefault="00534D7A" w:rsidP="00534D7A">
      <w:pPr>
        <w:shd w:val="clear" w:color="auto" w:fill="FFFFFF"/>
        <w:spacing w:after="0" w:line="240" w:lineRule="auto"/>
        <w:jc w:val="center"/>
      </w:pPr>
    </w:p>
    <w:p w:rsidR="00534D7A" w:rsidRDefault="00534D7A" w:rsidP="0053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  </w:t>
      </w:r>
    </w:p>
    <w:p w:rsidR="007C741E" w:rsidRDefault="00534D7A" w:rsidP="0053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Коллегии </w:t>
      </w:r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Счетной палаты</w:t>
      </w:r>
    </w:p>
    <w:p w:rsidR="007C741E" w:rsidRDefault="00534D7A" w:rsidP="0053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</w:t>
      </w:r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Чукотского автономного</w:t>
      </w:r>
    </w:p>
    <w:p w:rsidR="007C741E" w:rsidRDefault="00534D7A" w:rsidP="0053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округа, протокол от</w:t>
      </w:r>
    </w:p>
    <w:p w:rsidR="007C741E" w:rsidRDefault="00534D7A" w:rsidP="0053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марта </w:t>
      </w:r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ода 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7C741E" w:rsidRDefault="007C741E" w:rsidP="00534D7A">
      <w:pPr>
        <w:shd w:val="clear" w:color="auto" w:fill="FFFFFF"/>
        <w:spacing w:before="115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41E" w:rsidRDefault="007C741E" w:rsidP="0018340E">
      <w:pPr>
        <w:shd w:val="clear" w:color="auto" w:fill="FFFFFF"/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41E" w:rsidRDefault="007C741E" w:rsidP="0018340E">
      <w:pPr>
        <w:shd w:val="clear" w:color="auto" w:fill="FFFFFF"/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D7A" w:rsidRDefault="00534D7A" w:rsidP="0018340E">
      <w:pPr>
        <w:shd w:val="clear" w:color="auto" w:fill="FFFFFF"/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4D7A" w:rsidRDefault="00534D7A" w:rsidP="0018340E">
      <w:pPr>
        <w:shd w:val="clear" w:color="auto" w:fill="FFFFFF"/>
        <w:spacing w:before="115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41E" w:rsidRPr="00534D7A" w:rsidRDefault="007C741E" w:rsidP="007C741E">
      <w:pPr>
        <w:shd w:val="clear" w:color="auto" w:fill="FFFFFF"/>
        <w:spacing w:before="115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34D7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Стандарт</w:t>
      </w:r>
    </w:p>
    <w:p w:rsidR="00534D7A" w:rsidRDefault="0018340E" w:rsidP="0053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YANDEX_0"/>
      <w:bookmarkStart w:id="1" w:name="YANDEX_1"/>
      <w:bookmarkEnd w:id="0"/>
      <w:bookmarkEnd w:id="1"/>
      <w:r w:rsidRPr="00534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финансового </w:t>
      </w:r>
      <w:bookmarkStart w:id="2" w:name="YANDEX_2"/>
      <w:bookmarkEnd w:id="2"/>
      <w:r w:rsidRPr="00534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контроля</w:t>
      </w:r>
      <w:r w:rsidR="007C741E" w:rsidRPr="00534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40FC3" w:rsidRPr="00534D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(СФК) </w:t>
      </w:r>
    </w:p>
    <w:p w:rsidR="00534D7A" w:rsidRPr="00534D7A" w:rsidRDefault="00534D7A" w:rsidP="0053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8340E" w:rsidRPr="00534D7A" w:rsidRDefault="00534D7A" w:rsidP="00534D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4D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="0018340E" w:rsidRPr="00534D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Внешняя проверка годового отчета об исполнении</w:t>
      </w:r>
    </w:p>
    <w:p w:rsidR="0018340E" w:rsidRPr="00534D7A" w:rsidRDefault="007C741E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34D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бюджета муниципального образования</w:t>
      </w:r>
      <w:r w:rsidR="0018340E" w:rsidRPr="00534D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C823A6" w:rsidRPr="00534D7A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F7786" w:rsidRPr="00534D7A" w:rsidRDefault="003F778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A10D35" w:rsidP="00A10D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</w:t>
      </w:r>
      <w:r w:rsidR="00B6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E3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с 20 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534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Default="00C823A6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3A6" w:rsidRPr="00534D7A" w:rsidRDefault="00534D7A" w:rsidP="00183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Анадырь</w:t>
      </w:r>
    </w:p>
    <w:p w:rsidR="00C823A6" w:rsidRPr="00534D7A" w:rsidRDefault="007C741E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4D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4268351"/>
        <w:docPartObj>
          <w:docPartGallery w:val="Table of Contents"/>
          <w:docPartUnique/>
        </w:docPartObj>
      </w:sdtPr>
      <w:sdtContent>
        <w:p w:rsidR="00D40FC3" w:rsidRDefault="00D40FC3" w:rsidP="00534D7A">
          <w:pPr>
            <w:pStyle w:val="ad"/>
            <w:jc w:val="center"/>
            <w:rPr>
              <w:rFonts w:ascii="Times New Roman" w:hAnsi="Times New Roman" w:cs="Times New Roman"/>
            </w:rPr>
          </w:pPr>
          <w:r w:rsidRPr="00D40FC3">
            <w:rPr>
              <w:color w:val="auto"/>
            </w:rPr>
            <w:t>Оглавление</w:t>
          </w:r>
        </w:p>
        <w:p w:rsidR="00D40FC3" w:rsidRPr="00D40FC3" w:rsidRDefault="00D40FC3" w:rsidP="00D40FC3"/>
        <w:p w:rsidR="00D40FC3" w:rsidRPr="00D40FC3" w:rsidRDefault="00465E06" w:rsidP="00D40FC3">
          <w:pPr>
            <w:pStyle w:val="11"/>
            <w:rPr>
              <w:b/>
            </w:rPr>
          </w:pPr>
          <w:r w:rsidRPr="00465E06">
            <w:fldChar w:fldCharType="begin"/>
          </w:r>
          <w:r w:rsidR="00D40FC3">
            <w:instrText xml:space="preserve"> TOC \o "1-3" \h \z \u </w:instrText>
          </w:r>
          <w:r w:rsidRPr="00465E06">
            <w:fldChar w:fldCharType="separate"/>
          </w:r>
          <w:hyperlink w:anchor="_Toc321131356" w:history="1">
            <w:r w:rsidR="00D40FC3" w:rsidRPr="00D40FC3">
              <w:rPr>
                <w:rStyle w:val="ae"/>
                <w:b/>
              </w:rPr>
              <w:t>1.Общие положения</w:t>
            </w:r>
            <w:r w:rsidR="00D40FC3" w:rsidRPr="00D40FC3">
              <w:rPr>
                <w:b/>
                <w:webHidden/>
              </w:rPr>
              <w:tab/>
            </w:r>
            <w:r w:rsidRPr="00D40FC3">
              <w:rPr>
                <w:rStyle w:val="ae"/>
                <w:b/>
              </w:rPr>
              <w:fldChar w:fldCharType="begin"/>
            </w:r>
            <w:r w:rsidR="00D40FC3" w:rsidRPr="00D40FC3">
              <w:rPr>
                <w:b/>
                <w:webHidden/>
              </w:rPr>
              <w:instrText xml:space="preserve"> PAGEREF _Toc321131356 \h </w:instrText>
            </w:r>
            <w:r w:rsidRPr="00D40FC3">
              <w:rPr>
                <w:rStyle w:val="ae"/>
                <w:b/>
              </w:rPr>
            </w:r>
            <w:r w:rsidRPr="00D40FC3">
              <w:rPr>
                <w:rStyle w:val="ae"/>
                <w:b/>
              </w:rPr>
              <w:fldChar w:fldCharType="separate"/>
            </w:r>
            <w:r w:rsidR="00534D7A">
              <w:rPr>
                <w:b/>
                <w:webHidden/>
              </w:rPr>
              <w:t>3</w:t>
            </w:r>
            <w:r w:rsidRPr="00D40FC3">
              <w:rPr>
                <w:rStyle w:val="ae"/>
                <w:b/>
              </w:rPr>
              <w:fldChar w:fldCharType="end"/>
            </w:r>
          </w:hyperlink>
        </w:p>
        <w:p w:rsidR="00D40FC3" w:rsidRPr="00D40FC3" w:rsidRDefault="00465E06" w:rsidP="00D40FC3">
          <w:pPr>
            <w:pStyle w:val="11"/>
            <w:rPr>
              <w:b/>
            </w:rPr>
          </w:pPr>
          <w:hyperlink w:anchor="_Toc321131357" w:history="1">
            <w:r w:rsidR="00D40FC3" w:rsidRPr="00D40FC3">
              <w:rPr>
                <w:rStyle w:val="ae"/>
                <w:b/>
              </w:rPr>
              <w:t>2. Правовые, информационные и методические основы проведения внешней проверки годов</w:t>
            </w:r>
            <w:r w:rsidR="0067626C">
              <w:rPr>
                <w:rStyle w:val="ae"/>
                <w:b/>
              </w:rPr>
              <w:t xml:space="preserve">ого отчета </w:t>
            </w:r>
            <w:r w:rsidR="00D40FC3" w:rsidRPr="00D40FC3">
              <w:rPr>
                <w:b/>
                <w:webHidden/>
              </w:rPr>
              <w:t xml:space="preserve"> </w:t>
            </w:r>
            <w:r w:rsidR="00D40FC3" w:rsidRPr="00D40FC3">
              <w:rPr>
                <w:b/>
                <w:webHidden/>
              </w:rPr>
              <w:tab/>
            </w:r>
            <w:r w:rsidRPr="00D40FC3">
              <w:rPr>
                <w:rStyle w:val="ae"/>
                <w:b/>
              </w:rPr>
              <w:fldChar w:fldCharType="begin"/>
            </w:r>
            <w:r w:rsidR="00D40FC3" w:rsidRPr="00D40FC3">
              <w:rPr>
                <w:b/>
                <w:webHidden/>
              </w:rPr>
              <w:instrText xml:space="preserve"> PAGEREF _Toc321131357 \h </w:instrText>
            </w:r>
            <w:r w:rsidRPr="00D40FC3">
              <w:rPr>
                <w:rStyle w:val="ae"/>
                <w:b/>
              </w:rPr>
            </w:r>
            <w:r w:rsidRPr="00D40FC3">
              <w:rPr>
                <w:rStyle w:val="ae"/>
                <w:b/>
              </w:rPr>
              <w:fldChar w:fldCharType="separate"/>
            </w:r>
            <w:r w:rsidR="00534D7A">
              <w:rPr>
                <w:b/>
                <w:webHidden/>
              </w:rPr>
              <w:t>4</w:t>
            </w:r>
            <w:r w:rsidRPr="00D40FC3">
              <w:rPr>
                <w:rStyle w:val="ae"/>
                <w:b/>
              </w:rPr>
              <w:fldChar w:fldCharType="end"/>
            </w:r>
          </w:hyperlink>
        </w:p>
        <w:p w:rsidR="00D40FC3" w:rsidRDefault="00465E06" w:rsidP="00D40FC3">
          <w:pPr>
            <w:pStyle w:val="11"/>
          </w:pPr>
          <w:hyperlink w:anchor="_Toc321131358" w:history="1">
            <w:r w:rsidR="00B65C6F">
              <w:rPr>
                <w:rStyle w:val="ae"/>
                <w:b/>
              </w:rPr>
              <w:t>3.</w:t>
            </w:r>
            <w:r w:rsidR="00D40FC3" w:rsidRPr="00D40FC3">
              <w:rPr>
                <w:rStyle w:val="ae"/>
                <w:b/>
              </w:rPr>
              <w:t>Основные этапы подготовки и проведения внешней проверки годового отчета</w:t>
            </w:r>
            <w:r w:rsidR="00D40FC3" w:rsidRPr="00D40FC3">
              <w:rPr>
                <w:b/>
                <w:webHidden/>
              </w:rPr>
              <w:t xml:space="preserve"> </w:t>
            </w:r>
            <w:r w:rsidR="00D40FC3" w:rsidRPr="00D40FC3">
              <w:rPr>
                <w:b/>
                <w:webHidden/>
              </w:rPr>
              <w:tab/>
            </w:r>
            <w:r w:rsidRPr="00D40FC3">
              <w:rPr>
                <w:rStyle w:val="ae"/>
                <w:b/>
              </w:rPr>
              <w:fldChar w:fldCharType="begin"/>
            </w:r>
            <w:r w:rsidR="00D40FC3" w:rsidRPr="00D40FC3">
              <w:rPr>
                <w:b/>
                <w:webHidden/>
              </w:rPr>
              <w:instrText xml:space="preserve"> PAGEREF _Toc321131358 \h </w:instrText>
            </w:r>
            <w:r w:rsidRPr="00D40FC3">
              <w:rPr>
                <w:rStyle w:val="ae"/>
                <w:b/>
              </w:rPr>
            </w:r>
            <w:r w:rsidRPr="00D40FC3">
              <w:rPr>
                <w:rStyle w:val="ae"/>
                <w:b/>
              </w:rPr>
              <w:fldChar w:fldCharType="separate"/>
            </w:r>
            <w:r w:rsidR="00534D7A">
              <w:rPr>
                <w:b/>
                <w:webHidden/>
              </w:rPr>
              <w:t>7</w:t>
            </w:r>
            <w:r w:rsidRPr="00D40FC3">
              <w:rPr>
                <w:rStyle w:val="ae"/>
                <w:b/>
              </w:rPr>
              <w:fldChar w:fldCharType="end"/>
            </w:r>
          </w:hyperlink>
        </w:p>
        <w:p w:rsidR="00D40FC3" w:rsidRDefault="00465E06" w:rsidP="00D40FC3">
          <w:pPr>
            <w:pStyle w:val="11"/>
          </w:pPr>
          <w:hyperlink w:anchor="_Toc321131359" w:history="1">
            <w:r w:rsidR="00D40FC3" w:rsidRPr="008D5642">
              <w:rPr>
                <w:rStyle w:val="ae"/>
              </w:rPr>
              <w:t>3.1. Первый этап</w:t>
            </w:r>
            <w:r w:rsidR="00D40FC3">
              <w:rPr>
                <w:webHidden/>
              </w:rPr>
              <w:tab/>
            </w:r>
            <w:r>
              <w:rPr>
                <w:rStyle w:val="ae"/>
              </w:rPr>
              <w:fldChar w:fldCharType="begin"/>
            </w:r>
            <w:r w:rsidR="00D40FC3">
              <w:rPr>
                <w:webHidden/>
              </w:rPr>
              <w:instrText xml:space="preserve"> PAGEREF _Toc321131359 \h </w:instrText>
            </w:r>
            <w:r>
              <w:rPr>
                <w:rStyle w:val="ae"/>
              </w:rPr>
            </w:r>
            <w:r>
              <w:rPr>
                <w:rStyle w:val="ae"/>
              </w:rPr>
              <w:fldChar w:fldCharType="separate"/>
            </w:r>
            <w:r w:rsidR="00534D7A">
              <w:rPr>
                <w:webHidden/>
              </w:rPr>
              <w:t>7</w:t>
            </w:r>
            <w:r>
              <w:rPr>
                <w:rStyle w:val="ae"/>
              </w:rPr>
              <w:fldChar w:fldCharType="end"/>
            </w:r>
          </w:hyperlink>
        </w:p>
        <w:p w:rsidR="00D40FC3" w:rsidRDefault="00465E06" w:rsidP="00D40FC3">
          <w:pPr>
            <w:pStyle w:val="11"/>
          </w:pPr>
          <w:hyperlink w:anchor="_Toc321131360" w:history="1">
            <w:r w:rsidR="00D40FC3" w:rsidRPr="008D5642">
              <w:rPr>
                <w:rStyle w:val="ae"/>
              </w:rPr>
              <w:t>3.2.</w:t>
            </w:r>
            <w:r w:rsidR="00D40FC3">
              <w:rPr>
                <w:rStyle w:val="ae"/>
              </w:rPr>
              <w:t xml:space="preserve"> </w:t>
            </w:r>
            <w:r w:rsidR="00D40FC3" w:rsidRPr="008D5642">
              <w:rPr>
                <w:rStyle w:val="ae"/>
              </w:rPr>
              <w:t>Второй этап.</w:t>
            </w:r>
            <w:r w:rsidR="00D40FC3">
              <w:rPr>
                <w:webHidden/>
              </w:rPr>
              <w:tab/>
            </w:r>
            <w:r>
              <w:rPr>
                <w:rStyle w:val="ae"/>
              </w:rPr>
              <w:fldChar w:fldCharType="begin"/>
            </w:r>
            <w:r w:rsidR="00D40FC3">
              <w:rPr>
                <w:webHidden/>
              </w:rPr>
              <w:instrText xml:space="preserve"> PAGEREF _Toc321131360 \h </w:instrText>
            </w:r>
            <w:r>
              <w:rPr>
                <w:rStyle w:val="ae"/>
              </w:rPr>
            </w:r>
            <w:r>
              <w:rPr>
                <w:rStyle w:val="ae"/>
              </w:rPr>
              <w:fldChar w:fldCharType="separate"/>
            </w:r>
            <w:r w:rsidR="00534D7A">
              <w:rPr>
                <w:webHidden/>
              </w:rPr>
              <w:t>8</w:t>
            </w:r>
            <w:r>
              <w:rPr>
                <w:rStyle w:val="ae"/>
              </w:rPr>
              <w:fldChar w:fldCharType="end"/>
            </w:r>
          </w:hyperlink>
        </w:p>
        <w:p w:rsidR="00D40FC3" w:rsidRDefault="00465E06" w:rsidP="00D40FC3">
          <w:pPr>
            <w:pStyle w:val="11"/>
          </w:pPr>
          <w:hyperlink w:anchor="_Toc321131361" w:history="1">
            <w:r w:rsidR="00D40FC3" w:rsidRPr="008D5642">
              <w:rPr>
                <w:rStyle w:val="ae"/>
              </w:rPr>
              <w:t>3.3</w:t>
            </w:r>
            <w:r w:rsidR="00D40FC3">
              <w:rPr>
                <w:rStyle w:val="ae"/>
              </w:rPr>
              <w:t xml:space="preserve"> </w:t>
            </w:r>
            <w:r w:rsidR="00D40FC3" w:rsidRPr="008D5642">
              <w:rPr>
                <w:rStyle w:val="ae"/>
              </w:rPr>
              <w:t>.Третий этап.</w:t>
            </w:r>
            <w:r w:rsidR="00D40FC3">
              <w:rPr>
                <w:webHidden/>
              </w:rPr>
              <w:tab/>
            </w:r>
            <w:r>
              <w:rPr>
                <w:rStyle w:val="ae"/>
              </w:rPr>
              <w:fldChar w:fldCharType="begin"/>
            </w:r>
            <w:r w:rsidR="00D40FC3">
              <w:rPr>
                <w:webHidden/>
              </w:rPr>
              <w:instrText xml:space="preserve"> PAGEREF _Toc321131361 \h </w:instrText>
            </w:r>
            <w:r>
              <w:rPr>
                <w:rStyle w:val="ae"/>
              </w:rPr>
            </w:r>
            <w:r>
              <w:rPr>
                <w:rStyle w:val="ae"/>
              </w:rPr>
              <w:fldChar w:fldCharType="separate"/>
            </w:r>
            <w:r w:rsidR="00534D7A">
              <w:rPr>
                <w:webHidden/>
              </w:rPr>
              <w:t>8</w:t>
            </w:r>
            <w:r>
              <w:rPr>
                <w:rStyle w:val="ae"/>
              </w:rPr>
              <w:fldChar w:fldCharType="end"/>
            </w:r>
          </w:hyperlink>
        </w:p>
        <w:p w:rsidR="00D40FC3" w:rsidRPr="00D40FC3" w:rsidRDefault="00465E06" w:rsidP="00D40FC3">
          <w:pPr>
            <w:pStyle w:val="11"/>
            <w:rPr>
              <w:b/>
            </w:rPr>
          </w:pPr>
          <w:hyperlink w:anchor="_Toc321131362" w:history="1">
            <w:r w:rsidR="00D40FC3" w:rsidRPr="00D40FC3">
              <w:rPr>
                <w:rStyle w:val="ae"/>
                <w:b/>
              </w:rPr>
              <w:t>4. Формирование заключения  Счетной палаты</w:t>
            </w:r>
            <w:r w:rsidR="00D40FC3" w:rsidRPr="00D40FC3">
              <w:rPr>
                <w:b/>
                <w:webHidden/>
              </w:rPr>
              <w:tab/>
            </w:r>
            <w:r w:rsidRPr="00D40FC3">
              <w:rPr>
                <w:rStyle w:val="ae"/>
                <w:b/>
              </w:rPr>
              <w:fldChar w:fldCharType="begin"/>
            </w:r>
            <w:r w:rsidR="00D40FC3" w:rsidRPr="00D40FC3">
              <w:rPr>
                <w:b/>
                <w:webHidden/>
              </w:rPr>
              <w:instrText xml:space="preserve"> PAGEREF _Toc321131362 \h </w:instrText>
            </w:r>
            <w:r w:rsidRPr="00D40FC3">
              <w:rPr>
                <w:rStyle w:val="ae"/>
                <w:b/>
              </w:rPr>
            </w:r>
            <w:r w:rsidRPr="00D40FC3">
              <w:rPr>
                <w:rStyle w:val="ae"/>
                <w:b/>
              </w:rPr>
              <w:fldChar w:fldCharType="separate"/>
            </w:r>
            <w:r w:rsidR="00534D7A">
              <w:rPr>
                <w:b/>
                <w:webHidden/>
              </w:rPr>
              <w:t>10</w:t>
            </w:r>
            <w:r w:rsidRPr="00D40FC3">
              <w:rPr>
                <w:rStyle w:val="ae"/>
                <w:b/>
              </w:rPr>
              <w:fldChar w:fldCharType="end"/>
            </w:r>
          </w:hyperlink>
        </w:p>
        <w:p w:rsidR="00D40FC3" w:rsidRDefault="00465E06">
          <w:r>
            <w:fldChar w:fldCharType="end"/>
          </w:r>
        </w:p>
      </w:sdtContent>
    </w:sdt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7C74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61BB" w:rsidRDefault="003661BB" w:rsidP="006F67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54B" w:rsidRDefault="009E354B" w:rsidP="006F67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54B" w:rsidRPr="0018340E" w:rsidRDefault="009E354B" w:rsidP="006F67F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40E" w:rsidRDefault="0018340E" w:rsidP="0067626C">
      <w:pPr>
        <w:pStyle w:val="a4"/>
        <w:keepNext/>
        <w:numPr>
          <w:ilvl w:val="0"/>
          <w:numId w:val="1"/>
        </w:num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321131356"/>
      <w:r w:rsidRPr="001834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положения</w:t>
      </w:r>
      <w:bookmarkEnd w:id="3"/>
    </w:p>
    <w:p w:rsidR="0067626C" w:rsidRPr="0067626C" w:rsidRDefault="0067626C" w:rsidP="0067626C">
      <w:pPr>
        <w:pStyle w:val="a4"/>
        <w:keepNext/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340E" w:rsidRPr="0018340E" w:rsidRDefault="0018340E" w:rsidP="001834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bookmarkStart w:id="4" w:name="YANDEX_3"/>
      <w:bookmarkEnd w:id="4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Стандарт  </w:t>
      </w:r>
      <w:bookmarkStart w:id="5" w:name="YANDEX_4"/>
      <w:bookmarkEnd w:id="5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финансового  </w:t>
      </w:r>
      <w:bookmarkStart w:id="6" w:name="YANDEX_5"/>
      <w:bookmarkEnd w:id="6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контроля</w:t>
      </w:r>
      <w:r w:rsid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66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СФК</w:t>
      </w:r>
      <w:r w:rsid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2.7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«Внешняя проверка годового отчета об исполнении</w:t>
      </w:r>
      <w:r w:rsidRPr="00183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муниципального образования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– </w:t>
      </w:r>
      <w:bookmarkStart w:id="7" w:name="YANDEX_6"/>
      <w:bookmarkEnd w:id="7"/>
      <w:r w:rsidR="00DA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предназначен для методологического обеспечения реализации положений: </w:t>
      </w:r>
    </w:p>
    <w:p w:rsidR="0018340E" w:rsidRPr="0018340E" w:rsidRDefault="007C741E" w:rsidP="007C7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 157, 264.4 Бюджетного кодекса Российской Федерации (далее – БК РФ);</w:t>
      </w:r>
    </w:p>
    <w:p w:rsidR="0018340E" w:rsidRPr="0018340E" w:rsidRDefault="007C741E" w:rsidP="007C74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татей 9, 11 Федерального закона от 07.02.2011 № 6-ФЗ «Об общих принципах организации и деятельности </w:t>
      </w:r>
      <w:r w:rsidR="0018340E" w:rsidRP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контрольно-счетных органов субъектов Российской Федерации и муниципальных образований» (далее – Федеральный закон № 6-ФЗ);</w:t>
      </w:r>
    </w:p>
    <w:p w:rsidR="0018340E" w:rsidRPr="0018340E" w:rsidRDefault="0018340E" w:rsidP="00993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YANDEX_7"/>
      <w:bookmarkEnd w:id="8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Стандарт  разработан с учетом положений </w:t>
      </w:r>
      <w:r w:rsid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стандарта финансового контроля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СФК </w:t>
      </w:r>
      <w:bookmarkStart w:id="9" w:name="YANDEX_8"/>
      <w:bookmarkEnd w:id="9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203 </w:t>
      </w:r>
      <w:r w:rsidRPr="00183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Последующий </w:t>
      </w:r>
      <w:bookmarkStart w:id="10" w:name="YANDEX_9"/>
      <w:bookmarkEnd w:id="10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контроль </w:t>
      </w:r>
      <w:r w:rsidRPr="00183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 федерального бюджета»</w:t>
      </w:r>
      <w:r w:rsid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Счетной палаты Российской Федерации</w:t>
      </w:r>
      <w:r w:rsid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0883" w:rsidRPr="0018340E" w:rsidRDefault="0018340E" w:rsidP="00EA45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bookmarkStart w:id="11" w:name="YANDEX_10"/>
      <w:bookmarkEnd w:id="11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</w:t>
      </w:r>
      <w:r w:rsid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предназначен</w:t>
      </w:r>
      <w:r w:rsidR="00D8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использования работниками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C741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</w:t>
      </w:r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Чукотского автономного округа</w:t>
      </w:r>
      <w:r w:rsidR="007C741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74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С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четная палата) при организации и проведении ко</w:t>
      </w:r>
      <w:r w:rsidR="00EA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мплекса мероприятий по проверке </w:t>
      </w:r>
      <w:r w:rsidR="00EA458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об исполнении бюджета </w:t>
      </w:r>
      <w:r w:rsidR="00EA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EA458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</w:t>
      </w:r>
      <w:bookmarkStart w:id="12" w:name="YANDEX_12"/>
      <w:bookmarkEnd w:id="12"/>
      <w:r w:rsidR="00EA458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финансовый  год</w:t>
      </w:r>
      <w:r w:rsidR="00EA458E" w:rsidRPr="00EA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58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подготовке заключения </w:t>
      </w:r>
      <w:r w:rsidR="00EA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A458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палаты на отчет об исполнении бюджета </w:t>
      </w:r>
      <w:r w:rsidR="00EA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EA458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</w:t>
      </w:r>
      <w:bookmarkStart w:id="13" w:name="YANDEX_13"/>
      <w:bookmarkEnd w:id="13"/>
      <w:r w:rsidR="00EA458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финансовый  год (дале</w:t>
      </w:r>
      <w:r w:rsidR="00EA4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–заключение Счетной палаты)</w:t>
      </w:r>
      <w:r w:rsidR="00EA458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0E" w:rsidRPr="0018340E" w:rsidRDefault="0018340E" w:rsidP="00993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комплексом мероприятий в настоящем </w:t>
      </w:r>
      <w:bookmarkStart w:id="14" w:name="YANDEX_14"/>
      <w:bookmarkEnd w:id="14"/>
      <w:r w:rsidR="00D5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тандарте  понимается совокупность взаимосвязанных мероприятий, объединенных общим предметом и позволяющих по</w:t>
      </w:r>
      <w:r w:rsidR="00D8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дготовить заключение С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палаты по результатам внешней проверки годовой бюджетной отчетности </w:t>
      </w:r>
      <w:r w:rsidR="00D842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bookmarkStart w:id="15" w:name="YANDEX_15"/>
      <w:bookmarkEnd w:id="15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</w:t>
      </w:r>
      <w:r w:rsidR="00DA0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ваниями бюджетного законодательства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C2E1B" w:rsidRDefault="0018340E" w:rsidP="00993B1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Целью </w:t>
      </w:r>
      <w:bookmarkStart w:id="16" w:name="YANDEX_16"/>
      <w:bookmarkEnd w:id="16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Стандарта  является установление единых организационно-правовых, информационных и методических основ проведения комплекса </w:t>
      </w:r>
      <w:r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контрольно-ревизионных и экспертно-аналитических мероприятий</w:t>
      </w:r>
      <w:r w:rsidRPr="00183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последующего </w:t>
      </w:r>
      <w:bookmarkStart w:id="17" w:name="YANDEX_17"/>
      <w:bookmarkEnd w:id="17"/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контроля  исполнения </w:t>
      </w:r>
      <w:r w:rsidR="007D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Pr="00183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D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подготовки </w:t>
      </w:r>
      <w:r w:rsidR="000F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аключения </w:t>
      </w:r>
      <w:r w:rsidR="000F1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Счетной палаты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бюджетного законодательства.</w:t>
      </w:r>
      <w:r w:rsidR="008C2E1B" w:rsidRPr="008C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2E1B" w:rsidRPr="0018340E" w:rsidRDefault="008C2E1B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1.4.Задачами Стандарта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8C2E1B" w:rsidRPr="0018340E" w:rsidRDefault="00DC32C1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</w:t>
      </w:r>
      <w:r w:rsidR="008C2E1B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соответствия исполнения решения о бюджете на отчетный финансовый год положениям БК РФ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 нормативным правовым актам.</w:t>
      </w:r>
    </w:p>
    <w:p w:rsidR="006F67F0" w:rsidRPr="0018340E" w:rsidRDefault="00DC32C1" w:rsidP="006F6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</w:t>
      </w:r>
      <w:r w:rsidR="008C2E1B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кас</w:t>
      </w:r>
      <w:r w:rsidR="008C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сового исполнения бюджета муниципального образования</w:t>
      </w:r>
      <w:r w:rsidR="008C2E1B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финансовый год в части:</w:t>
      </w:r>
    </w:p>
    <w:p w:rsidR="008C2E1B" w:rsidRDefault="008C2E1B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 и структуры поступивших доходов бюджета в разрезе кодов бюджетной классификации доходов бюджетов Российской Федерации;</w:t>
      </w:r>
    </w:p>
    <w:p w:rsidR="00993B14" w:rsidRDefault="00993B14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3B14" w:rsidRPr="0018340E" w:rsidRDefault="00993B14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E1B" w:rsidRPr="0018340E" w:rsidRDefault="008C2E1B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осуществленных расходов бюджета в разрезе кодов разделов, подразделов, целевых статей и видов расходов классификации расходов бюджета, кодов классификации операций сект</w:t>
      </w:r>
      <w:r w:rsidR="00D5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 государственного управления,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кодов ведомственной структуры расходов бюджета;</w:t>
      </w:r>
    </w:p>
    <w:p w:rsidR="008C2E1B" w:rsidRPr="0018340E" w:rsidRDefault="008C2E1B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</w:t>
      </w:r>
      <w:r w:rsidRPr="008C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целевых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МЦП);</w:t>
      </w:r>
    </w:p>
    <w:p w:rsidR="008C2E1B" w:rsidRPr="0018340E" w:rsidRDefault="008C2E1B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бъема и структуры источников внутреннего финансирования дефицита бюджета;</w:t>
      </w:r>
    </w:p>
    <w:p w:rsidR="008C2E1B" w:rsidRPr="0018340E" w:rsidRDefault="008C2E1B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использования средств резервного фонда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C2E1B" w:rsidRPr="0018340E" w:rsidRDefault="00DC32C1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</w:t>
      </w:r>
      <w:r w:rsidR="008C2E1B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достоверности показателей отчета об исполнении бюджета за отчетный финансовый год, документов и материалов, пр</w:t>
      </w:r>
      <w:r w:rsidR="00B6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едставляемых одновременно с ним.</w:t>
      </w:r>
    </w:p>
    <w:p w:rsidR="008C2E1B" w:rsidRPr="0018340E" w:rsidRDefault="00DC32C1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</w:t>
      </w:r>
      <w:r w:rsidR="008C2E1B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эффективности управления муниципальным долгом;</w:t>
      </w:r>
    </w:p>
    <w:p w:rsidR="00C13E00" w:rsidRDefault="00DC32C1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</w:t>
      </w:r>
      <w:r w:rsidR="008C2E1B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C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дготовка заключения С</w:t>
      </w:r>
      <w:r w:rsidR="008C2E1B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палаты.</w:t>
      </w:r>
      <w:r w:rsidR="00C13E00" w:rsidRPr="00C1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C2E1B" w:rsidRDefault="00C13E00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бъектами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нешней проверки годового отчета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исполнении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(далее - внешняя проверка годового отчета) </w:t>
      </w:r>
      <w:r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A10D35"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B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10D35"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организующий исполнение бюджета</w:t>
      </w:r>
      <w:r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главные</w:t>
      </w:r>
      <w:r w:rsidR="00DC3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администраторы  бюджетных средств</w:t>
      </w:r>
      <w:r w:rsidR="006F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E00" w:rsidRDefault="00C13E00" w:rsidP="008C2E1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внешней проверки годового отчета является испо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лнение решения о бюджете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отчетный финансовый год.</w:t>
      </w:r>
    </w:p>
    <w:p w:rsidR="0018340E" w:rsidRPr="0018340E" w:rsidRDefault="00AD12C6" w:rsidP="00B65C6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Конкретные вопросы регулирова</w:t>
      </w:r>
      <w:r w:rsidR="00B6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проведения внешней проверки </w:t>
      </w:r>
      <w:r w:rsidR="00FC7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годового отчета</w:t>
      </w:r>
      <w:r w:rsidR="00B65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определены в Методических рекомендациях проведения внешней проверки отчета об исполнении бюдж</w:t>
      </w:r>
      <w:r w:rsidR="00A3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 муниципального обр</w:t>
      </w:r>
      <w:r w:rsidR="000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азования</w:t>
      </w:r>
      <w:r w:rsidR="00A3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3B14" w:rsidRDefault="00C13E00" w:rsidP="00993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0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0B21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внешней проверки годового отчета об исполнении </w:t>
      </w:r>
      <w:r w:rsidR="000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муниципального образования  утверждается в порядке, установленном Административным регламентом Счетной палаты.</w:t>
      </w:r>
    </w:p>
    <w:p w:rsidR="0018340E" w:rsidRPr="0018340E" w:rsidRDefault="00C13E00" w:rsidP="00993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r w:rsidR="0018340E"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Календарные сроки проведения комплекса контрольно-ревизионных и экспертно-аналитических мероприятий, подготовки и ра</w:t>
      </w:r>
      <w:r w:rsidR="007D78D5"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ссмотрения заключения С</w:t>
      </w:r>
      <w:r w:rsidR="0018340E"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 устанавливаются настоящим Стандартом исходя из</w:t>
      </w:r>
      <w:r w:rsidR="007D78D5"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статьи 264.4 БК РФ</w:t>
      </w:r>
      <w:r w:rsidR="0018340E"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C2E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340E" w:rsidRPr="0018340E" w:rsidRDefault="00F022EF" w:rsidP="0067626C">
      <w:pPr>
        <w:pStyle w:val="1"/>
        <w:ind w:firstLine="706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bookmarkStart w:id="18" w:name="_Toc321131357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F022EF">
        <w:rPr>
          <w:rFonts w:ascii="Times New Roman" w:eastAsia="Times New Roman" w:hAnsi="Times New Roman" w:cs="Times New Roman"/>
          <w:color w:val="000000"/>
          <w:lang w:eastAsia="ru-RU"/>
        </w:rPr>
        <w:t>Правовые</w:t>
      </w:r>
      <w:r w:rsidR="0018340E" w:rsidRPr="00F022EF">
        <w:rPr>
          <w:rFonts w:ascii="Times New Roman" w:eastAsia="Times New Roman" w:hAnsi="Times New Roman" w:cs="Times New Roman"/>
          <w:color w:val="000000"/>
          <w:lang w:eastAsia="ru-RU"/>
        </w:rPr>
        <w:t>, информационные и методические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8340E" w:rsidRPr="00F022EF">
        <w:rPr>
          <w:rFonts w:ascii="Times New Roman" w:eastAsia="Times New Roman" w:hAnsi="Times New Roman" w:cs="Times New Roman"/>
          <w:color w:val="000000"/>
          <w:lang w:eastAsia="ru-RU"/>
        </w:rPr>
        <w:t>основы проведения внешней проверки годового отчета об</w:t>
      </w:r>
      <w:r w:rsidR="00C01040" w:rsidRPr="00F022E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8340E" w:rsidRPr="00F022EF">
        <w:rPr>
          <w:rFonts w:ascii="Times New Roman" w:eastAsia="Times New Roman" w:hAnsi="Times New Roman" w:cs="Times New Roman"/>
          <w:color w:val="000000"/>
          <w:lang w:eastAsia="ru-RU"/>
        </w:rPr>
        <w:t>исполнении бюджета</w:t>
      </w:r>
      <w:bookmarkEnd w:id="18"/>
      <w:r w:rsidR="0018340E" w:rsidRPr="0018340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93B14" w:rsidRDefault="00C13E00" w:rsidP="002B6AC3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</w:t>
      </w:r>
      <w:r w:rsidR="007D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основой проведения С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палатой внешней проверки годового отчета </w:t>
      </w:r>
      <w:r w:rsidR="007D78D5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законодательные акты Российск</w:t>
      </w:r>
      <w:r w:rsidR="007D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Федерации, Чукотского автономного округа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нормативные правовые акты Правительства Российской Федерации,</w:t>
      </w:r>
      <w:r w:rsidR="007D78D5" w:rsidRPr="007D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Чукотского автономного округа,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</w:t>
      </w:r>
      <w:r w:rsidR="007D7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самоуправления.</w:t>
      </w:r>
    </w:p>
    <w:p w:rsidR="006F67F0" w:rsidRPr="0018340E" w:rsidRDefault="006F67F0" w:rsidP="002B6AC3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7DF6" w:rsidRPr="00D87DF6" w:rsidRDefault="007D78D5" w:rsidP="00D87DF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Осуществление С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палатой комплекса контрольно-ревизионных и экспертно-аналитических мероприятий в рамках внешней проверки годового отчета </w:t>
      </w:r>
      <w:r w:rsidR="00C01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основывается на статьях 157, 264.4 БК РФ, стать</w:t>
      </w:r>
      <w:r w:rsid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9 Федерального закона № 6-ФЗ.</w:t>
      </w:r>
      <w:r w:rsidR="00D87DF6" w:rsidRPr="00D87DF6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18340E" w:rsidRPr="0018340E" w:rsidRDefault="00D87DF6" w:rsidP="00A10D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порядок составления бюджетной отчетности</w:t>
      </w:r>
      <w:r w:rsidR="0036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</w:t>
      </w:r>
      <w:r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приказом Минфина РФ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18340E" w:rsidRDefault="0018340E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внешней проверки годового отчета осуществляетс</w:t>
      </w:r>
      <w:r w:rsidR="0036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проверка следующих документов.</w:t>
      </w:r>
    </w:p>
    <w:p w:rsidR="00372BDC" w:rsidRPr="0018340E" w:rsidRDefault="00372BDC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 выходе на объект:</w:t>
      </w:r>
    </w:p>
    <w:p w:rsidR="0018340E" w:rsidRPr="0018340E" w:rsidRDefault="00372BDC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нормативные правовые акты и распорядительные документы, регламентирующие процесс исполнения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0E" w:rsidRPr="0018340E" w:rsidRDefault="00372BDC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сводная бюджетная роспись;</w:t>
      </w:r>
    </w:p>
    <w:p w:rsidR="0018340E" w:rsidRPr="0018340E" w:rsidRDefault="00372BDC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 поступлений доходов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0E" w:rsidRDefault="00372BDC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годовая бюджетная отчетность</w:t>
      </w:r>
      <w:r w:rsid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администраторов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</w:t>
      </w:r>
      <w:r w:rsid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средств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022EF" w:rsidRPr="0018340E" w:rsidRDefault="003661BB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-годовой отчет</w:t>
      </w:r>
      <w:r w:rsid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бюджета муниципального образования.</w:t>
      </w:r>
    </w:p>
    <w:p w:rsidR="00372BDC" w:rsidRDefault="00372BDC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2.Без выхода на объект:</w:t>
      </w:r>
    </w:p>
    <w:p w:rsidR="00F022EF" w:rsidRDefault="00372BDC" w:rsidP="00C13E0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одовая </w:t>
      </w:r>
      <w:r w:rsidR="00C1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бюджетная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отчетность </w:t>
      </w:r>
      <w:r w:rsidR="00C1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(консолидированная) органа¸</w:t>
      </w:r>
      <w:r w:rsidR="00A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организующего исполнение бюджета</w:t>
      </w:r>
      <w:r w:rsidR="00A3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340E" w:rsidRPr="0018340E" w:rsidRDefault="00372BDC" w:rsidP="00F022E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F022EF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проведении камеральной проверки</w:t>
      </w:r>
      <w:r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необходимости</w:t>
      </w:r>
      <w:r w:rsidR="00F022EF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</w:t>
      </w:r>
      <w:r w:rsidR="00AD12C6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</w:t>
      </w:r>
      <w:r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запрошены другие документы</w:t>
      </w:r>
      <w:r w:rsidR="00F022EF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</w:t>
      </w:r>
      <w:r w:rsid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5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годовая </w:t>
      </w:r>
      <w:r w:rsidR="00A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 отчетность главных администраторов бюджетных средств.</w:t>
      </w:r>
    </w:p>
    <w:p w:rsidR="0018340E" w:rsidRPr="0018340E" w:rsidRDefault="00A35506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проведении внешней проверки годового отч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главным администраторам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2B6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исходить из необходимости:</w:t>
      </w:r>
    </w:p>
    <w:p w:rsidR="0018340E" w:rsidRPr="0018340E" w:rsidRDefault="00A35506" w:rsidP="003661BB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облюдения обязательных последовательно осуще</w:t>
      </w:r>
      <w:r w:rsidR="0036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ствляемых процедур при проверке исполнения бюджета по доходам, по расходам,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источникам внутреннего финансирования дефицита бюджета.</w:t>
      </w:r>
    </w:p>
    <w:p w:rsidR="0018340E" w:rsidRPr="0018340E" w:rsidRDefault="00A35506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беспечения исполнения законодательства Российской Федерации, включая:</w:t>
      </w:r>
    </w:p>
    <w:p w:rsidR="0018340E" w:rsidRPr="0018340E" w:rsidRDefault="0018340E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соблюдение положений и требований БК РФ и иных нормативных правовых актов, в том числе устанавливающих:</w:t>
      </w:r>
    </w:p>
    <w:p w:rsidR="0018340E" w:rsidRDefault="00675F54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главных</w:t>
      </w:r>
      <w:r w:rsidR="00366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администраторов бюджетных средств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0E" w:rsidRDefault="00675F54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ограничения по внесению изменений в сводную бюджетную роспись 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(муниципальных) услуг – в пределах общего объема бюджетных ассигнований, предусмотренных главному распорядителю бюджетных средств в текущем финансовом году на оказание государственных </w:t>
      </w:r>
      <w:r w:rsidR="0018340E" w:rsidRP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(муниципальных) услуг при условии, что увеличение бюджетных ассигнований по соответствующему виду расходов не превышает 10 процентов;</w:t>
      </w:r>
    </w:p>
    <w:p w:rsidR="0018340E" w:rsidRDefault="00675F54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исполнения судебных актов по обращению взыскания на средства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бюджета;</w:t>
      </w:r>
    </w:p>
    <w:p w:rsidR="0018340E" w:rsidRDefault="00675F54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отражения операций со средствами, полученными от приносящей доход деятельности;</w:t>
      </w:r>
    </w:p>
    <w:p w:rsidR="0018340E" w:rsidRDefault="00675F54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составления отчетности об исполнении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 за отчетный финансовый год</w:t>
      </w:r>
      <w:r w:rsidR="000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0E" w:rsidRDefault="00A35506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</w:t>
      </w:r>
      <w:r w:rsidR="00BE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бюджетного законодательства </w:t>
      </w:r>
      <w:r w:rsidR="006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законодательства  Чукотского автономного округа,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регламентирующих</w:t>
      </w:r>
      <w:r w:rsidR="006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МЦП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3B14" w:rsidRDefault="00A35506" w:rsidP="00993B1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Уменьшения объема кредиторской и дебиторской задолженностей, при наличии фактов роста кредиторской и дебиторской задолженности - проанализировать их причины и возможные последствия.</w:t>
      </w:r>
    </w:p>
    <w:p w:rsidR="0018340E" w:rsidRPr="0018340E" w:rsidRDefault="00A35506" w:rsidP="00993B1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Информационными основами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вне</w:t>
      </w:r>
      <w:r w:rsidR="00C01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шней проверки годового отчета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18340E" w:rsidRPr="0018340E" w:rsidRDefault="00BE02DD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r w:rsidR="0018340E"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аконодательные акты Российской Федерации, нормативные правовые акты Правительства Российской Федерации, органов власти</w:t>
      </w:r>
      <w:r w:rsidR="00675F54"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Чукотского автономного округа</w:t>
      </w:r>
      <w:r w:rsidR="0018340E"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2BDC"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0E" w:rsidRPr="0018340E" w:rsidRDefault="00675F54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-решения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отчетный финансовый год;</w:t>
      </w:r>
    </w:p>
    <w:p w:rsidR="0018340E" w:rsidRDefault="00BE02DD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-сводная</w:t>
      </w:r>
      <w:r w:rsidR="00675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роспись;</w:t>
      </w:r>
    </w:p>
    <w:p w:rsidR="00675F54" w:rsidRPr="0018340E" w:rsidRDefault="00675F54" w:rsidP="00675F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годовая бюджетная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отчетность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главных администраторов бюджет</w:t>
      </w:r>
      <w:r w:rsid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6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75F54" w:rsidRPr="0018340E" w:rsidRDefault="00675F54" w:rsidP="00675F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E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документы, характеризующие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BE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данные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</w:t>
      </w:r>
      <w:r w:rsid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тивного (текущего) контроля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исполнения решения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на отчетный финансовый год;</w:t>
      </w:r>
    </w:p>
    <w:p w:rsidR="00993B14" w:rsidRDefault="00675F54" w:rsidP="00993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-отчет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исполнении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финансовый год.</w:t>
      </w:r>
    </w:p>
    <w:p w:rsidR="0018340E" w:rsidRDefault="0018340E" w:rsidP="00993B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Методической основой проведения внеш</w:t>
      </w:r>
      <w:r w:rsidR="00C01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ней проверки годового отчета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сравнительный анализ:</w:t>
      </w:r>
    </w:p>
    <w:p w:rsidR="0018340E" w:rsidRPr="0018340E" w:rsidRDefault="00DE035B" w:rsidP="00F022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соответствия исполнения решения о бюджете на отчетный финансовый год требованиям БК РФ, иным законодательным и нормативным правовым актам Российской Федерации, </w:t>
      </w:r>
      <w:r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Чукотского автономного округа</w:t>
      </w:r>
      <w:r w:rsidR="0018340E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72BDC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82635" w:rsidRDefault="00DE035B" w:rsidP="006F6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результатов проверок с показателями, установленными решением о бюджете </w:t>
      </w:r>
      <w:r w:rsidR="00372BDC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отчетный финансовый год, сводной бюдж</w:t>
      </w:r>
      <w:r w:rsidR="00F022EF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етной росписью</w:t>
      </w:r>
      <w:r w:rsidR="0018340E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лимитами бюджетных обязательств и содержащихся в отчете данных об исполнении бюджета </w:t>
      </w:r>
      <w:r w:rsidR="00372BDC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финансовый год.</w:t>
      </w:r>
    </w:p>
    <w:p w:rsidR="006F67F0" w:rsidRPr="0018340E" w:rsidRDefault="006F67F0" w:rsidP="006F67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22EF" w:rsidRDefault="0018340E" w:rsidP="00F022E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бюджета, с данными, содержащимися в аналитических, бухгалтерских, отчетных и иных документах проверяемых объектов</w:t>
      </w:r>
      <w:r w:rsidR="00F0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02DD" w:rsidRDefault="0018340E" w:rsidP="00D8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определения эффективности использования средств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</w:t>
      </w:r>
      <w:r w:rsidR="00BE0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сопоставление данных за ряд лет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использованию средств бюджета, выделенных под конкретные цели, характеризующие основную деятельность проверяемых объектов.</w:t>
      </w:r>
      <w:r w:rsidR="00DE035B" w:rsidRPr="00DE03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626C" w:rsidRDefault="0067626C" w:rsidP="00D8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626C" w:rsidRDefault="00D87DF6" w:rsidP="0067626C">
      <w:pPr>
        <w:pStyle w:val="1"/>
        <w:spacing w:before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9" w:name="_Toc321131358"/>
      <w:r w:rsidRPr="00D87DF6">
        <w:rPr>
          <w:rFonts w:ascii="Times New Roman" w:eastAsia="Times New Roman" w:hAnsi="Times New Roman" w:cs="Times New Roman"/>
          <w:color w:val="000000"/>
          <w:lang w:eastAsia="ru-RU"/>
        </w:rPr>
        <w:t>3.1</w:t>
      </w:r>
      <w:r w:rsidR="007D540B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18340E" w:rsidRPr="00D87DF6">
        <w:rPr>
          <w:rFonts w:ascii="Times New Roman" w:eastAsia="Times New Roman" w:hAnsi="Times New Roman" w:cs="Times New Roman"/>
          <w:color w:val="000000"/>
          <w:lang w:eastAsia="ru-RU"/>
        </w:rPr>
        <w:t>Основные этапы подготовки и проведения внешней проверки годового отчета</w:t>
      </w:r>
      <w:bookmarkEnd w:id="19"/>
      <w:r w:rsidR="0018340E" w:rsidRPr="00D87D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Start w:id="20" w:name="_Toc321131359"/>
    </w:p>
    <w:p w:rsidR="00D87DF6" w:rsidRPr="0067626C" w:rsidRDefault="00DE035B" w:rsidP="0067626C">
      <w:pPr>
        <w:pStyle w:val="1"/>
        <w:spacing w:before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E4F42">
        <w:rPr>
          <w:rFonts w:ascii="Times New Roman" w:eastAsia="Times New Roman" w:hAnsi="Times New Roman" w:cs="Times New Roman"/>
          <w:color w:val="000000"/>
          <w:lang w:eastAsia="ru-RU"/>
        </w:rPr>
        <w:t>3.1. Первый этап</w:t>
      </w:r>
      <w:bookmarkEnd w:id="20"/>
    </w:p>
    <w:p w:rsidR="00D87DF6" w:rsidRDefault="00D87DF6" w:rsidP="00D8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340E" w:rsidRPr="00D87DF6" w:rsidRDefault="00DE035B" w:rsidP="00D87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заключается в п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утверждении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проведения в</w:t>
      </w:r>
      <w:r w:rsidR="007D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нешней проверки годового отчета,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</w:t>
      </w:r>
      <w:r w:rsidR="000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информационных писем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распорядительных документов.</w:t>
      </w:r>
    </w:p>
    <w:p w:rsidR="0018340E" w:rsidRPr="0018340E" w:rsidRDefault="00DE035B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</w:t>
      </w:r>
      <w:r w:rsidR="000B2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палаты </w:t>
      </w:r>
      <w:r w:rsidR="00B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издает приказ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внешней проверки годовог</w:t>
      </w:r>
      <w:r w:rsidR="00C01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отчета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AC3" w:rsidRDefault="00B864E0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 приказом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AC3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конкретные сроки подготовки заключ</w:t>
      </w:r>
      <w:r w:rsidR="002B6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Счетной палаты.</w:t>
      </w:r>
    </w:p>
    <w:p w:rsidR="0018340E" w:rsidRPr="0018340E" w:rsidRDefault="002B6AC3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проведения внешней проверки годового отчета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аудитором Счетной палаты. Проект программы разрабатывается руководителем проверки.</w:t>
      </w:r>
    </w:p>
    <w:p w:rsidR="0018340E" w:rsidRDefault="00BE02DD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роверка бюджетной отчетности об исполнении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финансовый год по главным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администраторам бюджетных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отчета об исполнении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оформление С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палатой заключения должны быть завершены не позднее 1 мая года, следующего за отчетным финансовым годом. </w:t>
      </w:r>
    </w:p>
    <w:p w:rsidR="001F2103" w:rsidRDefault="001F2103" w:rsidP="001F210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проверки необходимо ознакомиться с имеющейся нормативной правовой базой, в соо</w:t>
      </w:r>
      <w:r w:rsid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тветствии с которой должно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исполняться решение 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на отчетный финансовый год. </w:t>
      </w:r>
    </w:p>
    <w:p w:rsidR="001F2103" w:rsidRPr="0018340E" w:rsidRDefault="001F2103" w:rsidP="001F210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основе документов, полученных от финансового органа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характеризующих и обосновывающих операции со средствами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финансовый год, необходимо проанализировать </w:t>
      </w:r>
      <w:r w:rsid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бюджета.</w:t>
      </w:r>
    </w:p>
    <w:p w:rsidR="001F2103" w:rsidRPr="0018340E" w:rsidRDefault="001F2103" w:rsidP="001F210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необходимых документов и</w:t>
      </w:r>
      <w:r w:rsid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</w:t>
      </w:r>
      <w:r w:rsid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запрашиваются в рамках мероприятий последующего контроля исполнения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4F42" w:rsidRPr="007822EF" w:rsidRDefault="007822EF" w:rsidP="006F67F0">
      <w:pPr>
        <w:pStyle w:val="1"/>
        <w:ind w:firstLine="706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bookmarkStart w:id="21" w:name="_Toc321131360"/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3.2.</w:t>
      </w:r>
      <w:r w:rsidR="003E4F42" w:rsidRPr="007822EF">
        <w:rPr>
          <w:rFonts w:ascii="Times New Roman" w:eastAsia="Times New Roman" w:hAnsi="Times New Roman" w:cs="Times New Roman"/>
          <w:color w:val="000000"/>
          <w:lang w:eastAsia="ru-RU"/>
        </w:rPr>
        <w:t>Второй этап</w:t>
      </w:r>
      <w:bookmarkEnd w:id="21"/>
    </w:p>
    <w:p w:rsidR="0018340E" w:rsidRPr="0018340E" w:rsidRDefault="0018340E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2103" w:rsidRDefault="00D87DF6" w:rsidP="00BE02D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этапе осуществляется комплекс контрольно-ревизионных и экспертно</w:t>
      </w:r>
      <w:r w:rsidR="0078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аналитических мероприятий в соответствии с программой проведения внешней проверки годового отче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782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1646" w:rsidRDefault="0018340E" w:rsidP="00A10D3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проведения внешней проверки годового отчета и </w:t>
      </w:r>
      <w:r w:rsidR="007D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бюджетной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 главных администраторо</w:t>
      </w:r>
      <w:r w:rsid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бюджетных средств</w:t>
      </w:r>
      <w:r w:rsidR="00582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палатой с</w:t>
      </w:r>
      <w:r w:rsid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оставляется сводное заключение.</w:t>
      </w:r>
    </w:p>
    <w:p w:rsidR="00306EEC" w:rsidRPr="007822EF" w:rsidRDefault="007822EF" w:rsidP="0067626C">
      <w:pPr>
        <w:pStyle w:val="1"/>
        <w:ind w:firstLine="706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bookmarkStart w:id="22" w:name="_Toc321131361"/>
      <w:r>
        <w:rPr>
          <w:rFonts w:ascii="Times New Roman" w:eastAsia="Times New Roman" w:hAnsi="Times New Roman" w:cs="Times New Roman"/>
          <w:color w:val="000000"/>
          <w:lang w:eastAsia="ru-RU"/>
        </w:rPr>
        <w:t>3.3.</w:t>
      </w:r>
      <w:r w:rsidR="00306EEC" w:rsidRPr="007822EF">
        <w:rPr>
          <w:rFonts w:ascii="Times New Roman" w:eastAsia="Times New Roman" w:hAnsi="Times New Roman" w:cs="Times New Roman"/>
          <w:color w:val="000000"/>
          <w:lang w:eastAsia="ru-RU"/>
        </w:rPr>
        <w:t>Третий этап</w:t>
      </w:r>
      <w:bookmarkEnd w:id="22"/>
    </w:p>
    <w:p w:rsidR="00306EEC" w:rsidRDefault="00306EEC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4E0F" w:rsidRPr="00704E0F" w:rsidRDefault="00306EEC" w:rsidP="00306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дготовка заключения С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 обеспечивается в соответствии со</w:t>
      </w:r>
      <w:r w:rsidR="00B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сроками, определенными в приказе</w:t>
      </w:r>
      <w:r w:rsid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палаты о </w:t>
      </w:r>
      <w:r w:rsidR="0018340E"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в</w:t>
      </w:r>
      <w:r w:rsidR="007D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нешней проверки годового отчета</w:t>
      </w:r>
      <w:r w:rsidR="00704E0F"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0E" w:rsidRPr="0018340E" w:rsidRDefault="00704E0F" w:rsidP="00306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Счетной палаты подготавливается  </w:t>
      </w:r>
      <w:r w:rsidR="0018340E"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результатов экспертно-аналитических мероприятий</w:t>
      </w:r>
      <w:r w:rsidR="0018340E" w:rsidRPr="00704E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8340E"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главным администраторам </w:t>
      </w:r>
      <w:r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средств, </w:t>
      </w:r>
      <w:r w:rsidR="0018340E"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мероприятий, включая проверки, осуществленные в соответст</w:t>
      </w:r>
      <w:r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планом работы С</w:t>
      </w:r>
      <w:r w:rsidR="0018340E"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палаты, и имеющи</w:t>
      </w:r>
      <w:r w:rsidRP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отношение к отчетному периоду.</w:t>
      </w:r>
    </w:p>
    <w:p w:rsidR="0018340E" w:rsidRPr="0018340E" w:rsidRDefault="00FD471C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0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аключен</w:t>
      </w:r>
      <w:r w:rsidR="00306EEC"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6EEC"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18340E"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палаты </w:t>
      </w:r>
      <w:r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</w:t>
      </w:r>
      <w:r w:rsidR="0018340E"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структурой, установленной</w:t>
      </w:r>
      <w:r w:rsidR="00D5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пунктом 4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bookmarkStart w:id="23" w:name="YANDEX_23"/>
      <w:bookmarkEnd w:id="23"/>
      <w:r w:rsid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Стандарта.</w:t>
      </w:r>
    </w:p>
    <w:p w:rsidR="00306EEC" w:rsidRDefault="0018340E" w:rsidP="00306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</w:t>
      </w:r>
      <w:r w:rsidR="00B86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</w:t>
      </w:r>
      <w:r w:rsidR="0030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 должно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</w:t>
      </w:r>
      <w:r w:rsidR="00306E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следующие основные положения.</w:t>
      </w:r>
    </w:p>
    <w:p w:rsidR="0018340E" w:rsidRPr="0018340E" w:rsidRDefault="00306EEC" w:rsidP="00306E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достоверности отчета об исполнении бюджета за отчетный финансовый год, в том числе:</w:t>
      </w:r>
    </w:p>
    <w:p w:rsidR="0018340E" w:rsidRPr="0018340E" w:rsidRDefault="00AC6EB5" w:rsidP="008969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54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отчета по доходам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кодам классификации доходов бюджетов Российской Федерации, включающая:</w:t>
      </w:r>
    </w:p>
    <w:p w:rsidR="0018340E" w:rsidRPr="0018340E" w:rsidRDefault="005438A5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поступления доходов, закрепленных за главными администраторами доходов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сравнению с годом, предшествующим отчетному периоду;</w:t>
      </w:r>
    </w:p>
    <w:p w:rsidR="0018340E" w:rsidRPr="0018340E" w:rsidRDefault="00CF5A92" w:rsidP="008969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 w:rsidR="007E4D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отчета по расходам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ведомственной структуре расходов бюджета и по разделам, подразделам классификации расходов бюджетов, установленным приложениями к решению о бюджете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отчетный финансовый год, включая:</w:t>
      </w:r>
    </w:p>
    <w:p w:rsidR="0018340E" w:rsidRPr="0018340E" w:rsidRDefault="005438A5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причин неиспользования бюджетных ассигнований и лимитов бюджетных обязательств, анализ причин обра</w:t>
      </w:r>
      <w:r w:rsidR="00D4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зования остатков  бюджетных средств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6AC3" w:rsidRDefault="005438A5" w:rsidP="002B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обоснованности внесения изменений в сводную бюджетную роспись;</w:t>
      </w:r>
      <w:r w:rsidR="002B6AC3" w:rsidRPr="002B6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340E" w:rsidRDefault="002B6AC3" w:rsidP="002B6A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использования объемов выделенного финансирования и выполнения мероприятий, предусмотренных муницип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альными целевыми программами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0E" w:rsidRPr="0018340E" w:rsidRDefault="00CF5A92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4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</w:t>
      </w:r>
      <w:r w:rsidR="0064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 по источникам внутреннего финансирования дефицита бюджета по кодам классификации источников финансирования дефицита бюджета, включая:</w:t>
      </w:r>
    </w:p>
    <w:p w:rsidR="0018340E" w:rsidRPr="0018340E" w:rsidRDefault="005438A5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выполнения показателей, утвержденных сводной бюджетной росписью; </w:t>
      </w:r>
    </w:p>
    <w:p w:rsidR="0018340E" w:rsidRPr="0018340E" w:rsidRDefault="005438A5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объемов и структуры остатков денежных средств на счетах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начало и конец финансового года;</w:t>
      </w:r>
    </w:p>
    <w:p w:rsidR="0018340E" w:rsidRPr="0018340E" w:rsidRDefault="005438A5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 исполнения показателей муниципального долга в соответствии с требованиями БК РФ;</w:t>
      </w:r>
    </w:p>
    <w:p w:rsidR="0018340E" w:rsidRDefault="00CF5A92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 w:rsidR="00543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отклонений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об исполнении бюджета от </w:t>
      </w:r>
      <w:r w:rsidR="00D4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утвержденных </w:t>
      </w:r>
      <w:r w:rsidR="007D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показателей.</w:t>
      </w:r>
    </w:p>
    <w:p w:rsidR="00427D73" w:rsidRPr="0018340E" w:rsidRDefault="00427D73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Осуществление анализа:</w:t>
      </w:r>
    </w:p>
    <w:p w:rsidR="0018340E" w:rsidRPr="0018340E" w:rsidRDefault="005438A5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соответствия исполнения решения о бюджете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отчетный финансовый год основным направлениям налоговой и бюджетной политики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896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8340E" w:rsidRPr="0018340E" w:rsidRDefault="005438A5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мер, принятых органами местного самоуправления, по повышению эффективности бюджетных расходов;</w:t>
      </w:r>
    </w:p>
    <w:p w:rsidR="0018340E" w:rsidRPr="0018340E" w:rsidRDefault="005438A5" w:rsidP="00427D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доходов, расходов по приносящей доход деятельности по главным распорядителям и получателям бюджетных средств;</w:t>
      </w:r>
    </w:p>
    <w:p w:rsidR="0018340E" w:rsidRPr="0018340E" w:rsidRDefault="00427D73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исполнения статей решения о бюджете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отчетный финансовый год;</w:t>
      </w:r>
    </w:p>
    <w:p w:rsidR="0018340E" w:rsidRPr="0018340E" w:rsidRDefault="00427D73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расходования средств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 утвержденных бюджетных ассигнований по соответствующему разделу и подразделу расходов бюджетов и по каждому главному распорядителю средств бюджета; </w:t>
      </w:r>
    </w:p>
    <w:p w:rsidR="0018340E" w:rsidRPr="0018340E" w:rsidRDefault="00427D73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финансирования расходов, не предусмотренных решением о бюджете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отчетный финансовый год, либо бюджетной росписью;</w:t>
      </w:r>
    </w:p>
    <w:p w:rsidR="007D540B" w:rsidRPr="0018340E" w:rsidRDefault="00427D73" w:rsidP="00647A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фактов нарушений при осуществлении муни</w:t>
      </w:r>
      <w:r w:rsidR="007D5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ципальных закупок (при наличии)</w:t>
      </w:r>
      <w:r w:rsidR="0064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0E" w:rsidRPr="0018340E" w:rsidRDefault="00427D73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ыводы и предложения, в том числе:</w:t>
      </w:r>
    </w:p>
    <w:p w:rsidR="0018340E" w:rsidRPr="0018340E" w:rsidRDefault="007D540B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-соответствие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отчета об исполнении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отчетный </w:t>
      </w:r>
      <w:bookmarkStart w:id="24" w:name="YANDEX_25"/>
      <w:bookmarkEnd w:id="24"/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финансовый  год</w:t>
      </w:r>
      <w:r w:rsidR="00427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разделам и подразделам классификации расходов бюджета и </w:t>
      </w:r>
      <w:r w:rsidR="00D5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распорядителям </w:t>
      </w:r>
      <w:r w:rsid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</w:t>
      </w:r>
      <w:r w:rsidR="00704E0F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704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04E0F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результатам проверок по главным администраторам </w:t>
      </w:r>
      <w:r w:rsidR="00D4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</w:t>
      </w:r>
      <w:r w:rsidR="00D57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средств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340E" w:rsidRPr="0018340E" w:rsidRDefault="0018340E" w:rsidP="001834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427D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дготовка заключения С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палаты, а </w:t>
      </w:r>
      <w:r w:rsidRP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информационных п</w:t>
      </w:r>
      <w:r w:rsidR="00427D73" w:rsidRP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исем и представлений </w:t>
      </w:r>
      <w:r w:rsidRP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обеспечивается в установленные </w:t>
      </w:r>
      <w:bookmarkStart w:id="25" w:name="YANDEX_28"/>
      <w:bookmarkEnd w:id="25"/>
      <w:r w:rsidRPr="00993B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Стандартом  сроки.</w:t>
      </w:r>
    </w:p>
    <w:p w:rsidR="0018340E" w:rsidRDefault="0018340E" w:rsidP="0067626C">
      <w:pPr>
        <w:pStyle w:val="1"/>
        <w:ind w:firstLine="706"/>
        <w:jc w:val="both"/>
        <w:rPr>
          <w:rFonts w:ascii="Times New Roman" w:eastAsia="Times New Roman" w:hAnsi="Times New Roman" w:cs="Times New Roman"/>
          <w:b w:val="0"/>
          <w:color w:val="000000"/>
          <w:lang w:eastAsia="ru-RU"/>
        </w:rPr>
      </w:pPr>
      <w:bookmarkStart w:id="26" w:name="_Toc321131362"/>
      <w:r w:rsidRPr="0018340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4. </w:t>
      </w:r>
      <w:r w:rsidR="00704E0F">
        <w:rPr>
          <w:rFonts w:ascii="Times New Roman" w:eastAsia="Times New Roman" w:hAnsi="Times New Roman" w:cs="Times New Roman"/>
          <w:color w:val="000000"/>
          <w:lang w:eastAsia="ru-RU"/>
        </w:rPr>
        <w:t>Формирование заключения  С</w:t>
      </w:r>
      <w:r w:rsidRPr="0018340E">
        <w:rPr>
          <w:rFonts w:ascii="Times New Roman" w:eastAsia="Times New Roman" w:hAnsi="Times New Roman" w:cs="Times New Roman"/>
          <w:color w:val="000000"/>
          <w:lang w:eastAsia="ru-RU"/>
        </w:rPr>
        <w:t>четной палаты</w:t>
      </w:r>
      <w:r w:rsidR="00704E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bookmarkEnd w:id="26"/>
    </w:p>
    <w:p w:rsidR="00C009A7" w:rsidRPr="00C009A7" w:rsidRDefault="00C009A7" w:rsidP="00C009A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8340E" w:rsidRDefault="00704E0F" w:rsidP="00704E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Счетной 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палаты состоит из следующих разделов:</w:t>
      </w:r>
    </w:p>
    <w:p w:rsidR="00C009A7" w:rsidRPr="00C009A7" w:rsidRDefault="00C009A7" w:rsidP="00C00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0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2.Общая характеристика исполнения решения о бюджете муниципального образования на отчетный финансовый год.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Pr="00C0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основных показателей исполнения бюджета: доходов, расходов, дефицита (профицита) бюджета.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организации исполнения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отчетный финансовый год и соответствие его исполнения требованиям БК РФ и иным нормативным правовым актам.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C0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исполнения доходов бюджета.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3.1.Налоговые доходы бюджета.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3.2.Неналоговые доходы бюджета.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3.3.Безвозмездные поступления.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3.4.Доходы от приносящей доход деятельности.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4.Анализ исполнения расходов бюджета.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Pr="00C00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исполнения расходов бюджета </w:t>
      </w:r>
      <w:r w:rsidRPr="00A1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 и подразделам классификации расходов бюджетов Российской Федерации.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4.2.Анализ исполнения межбюджетных трансфертов.</w:t>
      </w:r>
    </w:p>
    <w:p w:rsidR="00C009A7" w:rsidRDefault="00C009A7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5.Анализ реализации муниципальных целевых программ.</w:t>
      </w:r>
    </w:p>
    <w:p w:rsidR="00BB06CB" w:rsidRDefault="00BB06CB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6.Дефицит (профицит) бюджета и источники внутреннего финансирования дефицита бюджета.</w:t>
      </w:r>
    </w:p>
    <w:p w:rsidR="00BB06CB" w:rsidRDefault="00BB06CB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7.Анализ состояния муниципального долга в отчетном финансовом году.</w:t>
      </w:r>
    </w:p>
    <w:p w:rsidR="00BB06CB" w:rsidRDefault="00BB06CB" w:rsidP="00C00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Pr="00BB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муниципального долга.</w:t>
      </w:r>
    </w:p>
    <w:p w:rsidR="00BB06CB" w:rsidRDefault="00BB06CB" w:rsidP="00BB0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Pr="00BB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бюджета на обслуживание муниципального долга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09A7" w:rsidRDefault="00BB06CB" w:rsidP="00BB0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Pr="00BB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формирования и исполнения резервного фонда администрации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06CB" w:rsidRDefault="00BB06CB" w:rsidP="00BB0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BB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Выводы.</w:t>
      </w:r>
    </w:p>
    <w:p w:rsidR="00BB06CB" w:rsidRDefault="00BB06CB" w:rsidP="00BB0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BB06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Предложения.</w:t>
      </w:r>
    </w:p>
    <w:p w:rsidR="0018340E" w:rsidRDefault="00FD471C" w:rsidP="00993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Приложения к заключению Счетной палаты на отчет об исполнении бюджета муниципального образования за отчетный финансовый год.</w:t>
      </w:r>
    </w:p>
    <w:p w:rsidR="00D57CD6" w:rsidRPr="0018340E" w:rsidRDefault="00D57CD6" w:rsidP="00993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40E" w:rsidRPr="0018340E" w:rsidRDefault="00FD471C" w:rsidP="001834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С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четной палаты на годовой отчет об исполнении бюджета </w:t>
      </w:r>
      <w:r w:rsidR="00372B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утверждается </w:t>
      </w:r>
      <w:r w:rsidR="00647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Коллегии С</w:t>
      </w:r>
      <w:r w:rsidR="0018340E" w:rsidRPr="00183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четной палаты.</w:t>
      </w:r>
    </w:p>
    <w:p w:rsidR="00272606" w:rsidRPr="0018340E" w:rsidRDefault="00272606" w:rsidP="001834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2606" w:rsidRPr="0018340E" w:rsidSect="003661BB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56C" w:rsidRDefault="00B3256C" w:rsidP="003661BB">
      <w:pPr>
        <w:spacing w:after="0" w:line="240" w:lineRule="auto"/>
      </w:pPr>
      <w:r>
        <w:separator/>
      </w:r>
    </w:p>
  </w:endnote>
  <w:endnote w:type="continuationSeparator" w:id="1">
    <w:p w:rsidR="00B3256C" w:rsidRDefault="00B3256C" w:rsidP="0036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56C" w:rsidRDefault="00B3256C" w:rsidP="003661BB">
      <w:pPr>
        <w:spacing w:after="0" w:line="240" w:lineRule="auto"/>
      </w:pPr>
      <w:r>
        <w:separator/>
      </w:r>
    </w:p>
  </w:footnote>
  <w:footnote w:type="continuationSeparator" w:id="1">
    <w:p w:rsidR="00B3256C" w:rsidRDefault="00B3256C" w:rsidP="0036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8344"/>
      <w:docPartObj>
        <w:docPartGallery w:val="Page Numbers (Top of Page)"/>
        <w:docPartUnique/>
      </w:docPartObj>
    </w:sdtPr>
    <w:sdtContent>
      <w:p w:rsidR="003661BB" w:rsidRDefault="00465E06">
        <w:pPr>
          <w:pStyle w:val="a7"/>
          <w:jc w:val="center"/>
        </w:pPr>
        <w:fldSimple w:instr=" PAGE   \* MERGEFORMAT ">
          <w:r w:rsidR="00A91DEE">
            <w:rPr>
              <w:noProof/>
            </w:rPr>
            <w:t>2</w:t>
          </w:r>
        </w:fldSimple>
      </w:p>
    </w:sdtContent>
  </w:sdt>
  <w:p w:rsidR="003661BB" w:rsidRDefault="003661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65F"/>
    <w:multiLevelType w:val="multilevel"/>
    <w:tmpl w:val="CB8099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4AC6EC6"/>
    <w:multiLevelType w:val="multilevel"/>
    <w:tmpl w:val="CB8099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4D91BB9"/>
    <w:multiLevelType w:val="hybridMultilevel"/>
    <w:tmpl w:val="29BA1FFE"/>
    <w:lvl w:ilvl="0" w:tplc="F52C2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425412"/>
    <w:multiLevelType w:val="hybridMultilevel"/>
    <w:tmpl w:val="6CC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formatting="1" w:enforcement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340E"/>
    <w:rsid w:val="00035DF8"/>
    <w:rsid w:val="000A2E92"/>
    <w:rsid w:val="000B210E"/>
    <w:rsid w:val="000B2642"/>
    <w:rsid w:val="000F1C85"/>
    <w:rsid w:val="001123B4"/>
    <w:rsid w:val="00167087"/>
    <w:rsid w:val="0018340E"/>
    <w:rsid w:val="001F2103"/>
    <w:rsid w:val="002050F3"/>
    <w:rsid w:val="00272606"/>
    <w:rsid w:val="002904AA"/>
    <w:rsid w:val="002B6AC3"/>
    <w:rsid w:val="00306EEC"/>
    <w:rsid w:val="0031718E"/>
    <w:rsid w:val="00323F89"/>
    <w:rsid w:val="0036609D"/>
    <w:rsid w:val="003661BB"/>
    <w:rsid w:val="00372BDC"/>
    <w:rsid w:val="003B1646"/>
    <w:rsid w:val="003E4F42"/>
    <w:rsid w:val="003F7786"/>
    <w:rsid w:val="00427D73"/>
    <w:rsid w:val="00465E06"/>
    <w:rsid w:val="0049166D"/>
    <w:rsid w:val="00510B29"/>
    <w:rsid w:val="00534D7A"/>
    <w:rsid w:val="005438A5"/>
    <w:rsid w:val="0055708A"/>
    <w:rsid w:val="00582635"/>
    <w:rsid w:val="005B5A4E"/>
    <w:rsid w:val="00647A5B"/>
    <w:rsid w:val="00675F54"/>
    <w:rsid w:val="0067626C"/>
    <w:rsid w:val="006F67F0"/>
    <w:rsid w:val="00704E0F"/>
    <w:rsid w:val="007822EF"/>
    <w:rsid w:val="007C741E"/>
    <w:rsid w:val="007D540B"/>
    <w:rsid w:val="007D78D5"/>
    <w:rsid w:val="007E4D48"/>
    <w:rsid w:val="0082151B"/>
    <w:rsid w:val="00896943"/>
    <w:rsid w:val="008C2E1B"/>
    <w:rsid w:val="00903325"/>
    <w:rsid w:val="00913F5C"/>
    <w:rsid w:val="00924B71"/>
    <w:rsid w:val="00941785"/>
    <w:rsid w:val="00993B14"/>
    <w:rsid w:val="009B46BA"/>
    <w:rsid w:val="009E354B"/>
    <w:rsid w:val="00A06FE1"/>
    <w:rsid w:val="00A10D35"/>
    <w:rsid w:val="00A27AB2"/>
    <w:rsid w:val="00A35506"/>
    <w:rsid w:val="00A91DEE"/>
    <w:rsid w:val="00AC6EB5"/>
    <w:rsid w:val="00AD12C6"/>
    <w:rsid w:val="00B3256C"/>
    <w:rsid w:val="00B65C6F"/>
    <w:rsid w:val="00B73E3A"/>
    <w:rsid w:val="00B864E0"/>
    <w:rsid w:val="00BB06CB"/>
    <w:rsid w:val="00BE02DD"/>
    <w:rsid w:val="00C009A7"/>
    <w:rsid w:val="00C01040"/>
    <w:rsid w:val="00C13E00"/>
    <w:rsid w:val="00C22247"/>
    <w:rsid w:val="00C721D1"/>
    <w:rsid w:val="00C823A6"/>
    <w:rsid w:val="00CE2478"/>
    <w:rsid w:val="00CF5A92"/>
    <w:rsid w:val="00D40FC3"/>
    <w:rsid w:val="00D57CD6"/>
    <w:rsid w:val="00D842D3"/>
    <w:rsid w:val="00D87DF6"/>
    <w:rsid w:val="00DA0883"/>
    <w:rsid w:val="00DC32C1"/>
    <w:rsid w:val="00DE035B"/>
    <w:rsid w:val="00E026DD"/>
    <w:rsid w:val="00EA458E"/>
    <w:rsid w:val="00EF5600"/>
    <w:rsid w:val="00F022EF"/>
    <w:rsid w:val="00F24ADE"/>
    <w:rsid w:val="00FC7E4B"/>
    <w:rsid w:val="00FD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06"/>
  </w:style>
  <w:style w:type="paragraph" w:styleId="1">
    <w:name w:val="heading 1"/>
    <w:basedOn w:val="a"/>
    <w:next w:val="a"/>
    <w:link w:val="10"/>
    <w:uiPriority w:val="9"/>
    <w:qFormat/>
    <w:rsid w:val="00D40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40E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18340E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highlight">
    <w:name w:val="highlight"/>
    <w:basedOn w:val="a0"/>
    <w:rsid w:val="0018340E"/>
  </w:style>
  <w:style w:type="paragraph" w:styleId="a4">
    <w:name w:val="List Paragraph"/>
    <w:basedOn w:val="a"/>
    <w:uiPriority w:val="34"/>
    <w:qFormat/>
    <w:rsid w:val="001834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1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6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61BB"/>
  </w:style>
  <w:style w:type="paragraph" w:styleId="a9">
    <w:name w:val="footer"/>
    <w:basedOn w:val="a"/>
    <w:link w:val="aa"/>
    <w:uiPriority w:val="99"/>
    <w:semiHidden/>
    <w:unhideWhenUsed/>
    <w:rsid w:val="00366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661BB"/>
  </w:style>
  <w:style w:type="paragraph" w:styleId="ab">
    <w:name w:val="No Spacing"/>
    <w:link w:val="ac"/>
    <w:uiPriority w:val="1"/>
    <w:qFormat/>
    <w:rsid w:val="003661BB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3661BB"/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D40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D40FC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40FC3"/>
    <w:pPr>
      <w:tabs>
        <w:tab w:val="right" w:leader="dot" w:pos="9627"/>
      </w:tabs>
      <w:spacing w:after="100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e">
    <w:name w:val="Hyperlink"/>
    <w:basedOn w:val="a0"/>
    <w:uiPriority w:val="99"/>
    <w:unhideWhenUsed/>
    <w:rsid w:val="00D40FC3"/>
    <w:rPr>
      <w:color w:val="0000FF" w:themeColor="hyperlink"/>
      <w:u w:val="single"/>
    </w:rPr>
  </w:style>
  <w:style w:type="paragraph" w:customStyle="1" w:styleId="af">
    <w:name w:val="Таблицы (моноширинный)"/>
    <w:basedOn w:val="a"/>
    <w:next w:val="a"/>
    <w:uiPriority w:val="99"/>
    <w:rsid w:val="00534D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6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40EC-2634-405E-9E83-2408C8E7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10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</dc:creator>
  <cp:lastModifiedBy>Колесник Л.М.</cp:lastModifiedBy>
  <cp:revision>19</cp:revision>
  <cp:lastPrinted>2014-04-23T23:07:00Z</cp:lastPrinted>
  <dcterms:created xsi:type="dcterms:W3CDTF">2012-03-27T13:05:00Z</dcterms:created>
  <dcterms:modified xsi:type="dcterms:W3CDTF">2014-04-23T23:09:00Z</dcterms:modified>
</cp:coreProperties>
</file>