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9" w:rsidRPr="004039C7" w:rsidRDefault="00ED2289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9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D2289" w:rsidRPr="004039C7" w:rsidRDefault="00ED2289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>о работе Счетной палаты Чукотского  автономного округа</w:t>
      </w:r>
    </w:p>
    <w:p w:rsidR="00ED2289" w:rsidRDefault="00ED2289" w:rsidP="007B4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>за 3 квартал 2018 года</w:t>
      </w:r>
    </w:p>
    <w:p w:rsidR="007B4BB6" w:rsidRPr="004039C7" w:rsidRDefault="007B4BB6" w:rsidP="007B4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6EE" w:rsidRDefault="00ED2289" w:rsidP="007B4B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>Информация о работе Счетной палаты за 3 квартал 2018 года подготовлена в соответствии с Федеральным законом «Об  общих принципах организации и деятельности контрольно-счетных органов субъектов Российской Федерации и муниципальных образований» и Законом Чукотского автономного округа  «О Счетной палате Чукотского автономного округа».</w:t>
      </w:r>
      <w:proofErr w:type="gramEnd"/>
    </w:p>
    <w:p w:rsidR="007B4BB6" w:rsidRPr="004039C7" w:rsidRDefault="007B4BB6" w:rsidP="007B4B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2289" w:rsidRPr="004039C7" w:rsidRDefault="00ED2289" w:rsidP="006F6D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>Общие итоги работы Счетной палаты в 3 квартале 2018 года</w:t>
      </w:r>
    </w:p>
    <w:p w:rsidR="007A2294" w:rsidRPr="004039C7" w:rsidRDefault="00ED2289" w:rsidP="007B4BB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отче</w:t>
      </w:r>
      <w:r w:rsidR="000A431A" w:rsidRPr="004039C7">
        <w:rPr>
          <w:rFonts w:ascii="Times New Roman" w:hAnsi="Times New Roman" w:cs="Times New Roman"/>
          <w:sz w:val="28"/>
          <w:szCs w:val="28"/>
        </w:rPr>
        <w:t>тном кварт</w:t>
      </w:r>
      <w:r w:rsidR="00DB2470" w:rsidRPr="004039C7">
        <w:rPr>
          <w:rFonts w:ascii="Times New Roman" w:hAnsi="Times New Roman" w:cs="Times New Roman"/>
          <w:sz w:val="28"/>
          <w:szCs w:val="28"/>
        </w:rPr>
        <w:t>але Счетной палатой проведено 13</w:t>
      </w:r>
      <w:r w:rsidR="000A431A" w:rsidRPr="004039C7">
        <w:rPr>
          <w:rFonts w:ascii="Times New Roman" w:hAnsi="Times New Roman" w:cs="Times New Roman"/>
          <w:sz w:val="28"/>
          <w:szCs w:val="28"/>
        </w:rPr>
        <w:t xml:space="preserve"> плановых мероприяти</w:t>
      </w:r>
      <w:r w:rsidR="00DB2470" w:rsidRPr="004039C7">
        <w:rPr>
          <w:rFonts w:ascii="Times New Roman" w:hAnsi="Times New Roman" w:cs="Times New Roman"/>
          <w:sz w:val="28"/>
          <w:szCs w:val="28"/>
        </w:rPr>
        <w:t>й, в том числе 4 контрольных и 9</w:t>
      </w:r>
      <w:r w:rsidR="000A431A" w:rsidRPr="004039C7">
        <w:rPr>
          <w:rFonts w:ascii="Times New Roman" w:hAnsi="Times New Roman" w:cs="Times New Roman"/>
          <w:sz w:val="28"/>
          <w:szCs w:val="28"/>
        </w:rPr>
        <w:t xml:space="preserve"> экспертно-ана</w:t>
      </w:r>
      <w:r w:rsidR="00DB2470" w:rsidRPr="004039C7">
        <w:rPr>
          <w:rFonts w:ascii="Times New Roman" w:hAnsi="Times New Roman" w:cs="Times New Roman"/>
          <w:sz w:val="28"/>
          <w:szCs w:val="28"/>
        </w:rPr>
        <w:t>литических, которыми охвачено 46</w:t>
      </w:r>
      <w:r w:rsidR="000A431A" w:rsidRPr="004039C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B2470" w:rsidRPr="004039C7">
        <w:rPr>
          <w:rFonts w:ascii="Times New Roman" w:hAnsi="Times New Roman" w:cs="Times New Roman"/>
          <w:sz w:val="28"/>
          <w:szCs w:val="28"/>
        </w:rPr>
        <w:t>ов: 15</w:t>
      </w:r>
      <w:r w:rsidR="000A431A" w:rsidRPr="004039C7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23 органа местного самоуправления, Чукотский территориальный фонд ОМС и 7 иных хозяйствующих субъектов. </w:t>
      </w:r>
    </w:p>
    <w:p w:rsidR="000A431A" w:rsidRPr="004039C7" w:rsidRDefault="00D60BB7" w:rsidP="007B4BB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третьем квартале  проведено одно параллельное контрольное мероприятие </w:t>
      </w:r>
      <w:r w:rsidR="00906D7A" w:rsidRPr="004039C7">
        <w:rPr>
          <w:rFonts w:ascii="Times New Roman" w:hAnsi="Times New Roman" w:cs="Times New Roman"/>
          <w:sz w:val="28"/>
          <w:szCs w:val="28"/>
        </w:rPr>
        <w:t xml:space="preserve"> одно параллельное экспертно-аналитическое мероприятие </w:t>
      </w:r>
      <w:r w:rsidRPr="004039C7">
        <w:rPr>
          <w:rFonts w:ascii="Times New Roman" w:hAnsi="Times New Roman" w:cs="Times New Roman"/>
          <w:sz w:val="28"/>
          <w:szCs w:val="28"/>
        </w:rPr>
        <w:t>с контрольно-счетными органами субъектов Дальнев</w:t>
      </w:r>
      <w:r w:rsidR="00906D7A" w:rsidRPr="004039C7">
        <w:rPr>
          <w:rFonts w:ascii="Times New Roman" w:hAnsi="Times New Roman" w:cs="Times New Roman"/>
          <w:sz w:val="28"/>
          <w:szCs w:val="28"/>
        </w:rPr>
        <w:t>осточн</w:t>
      </w:r>
      <w:r w:rsidR="00FD0DD5">
        <w:rPr>
          <w:rFonts w:ascii="Times New Roman" w:hAnsi="Times New Roman" w:cs="Times New Roman"/>
          <w:sz w:val="28"/>
          <w:szCs w:val="28"/>
        </w:rPr>
        <w:t xml:space="preserve">ого федерального округа,  </w:t>
      </w:r>
      <w:r w:rsidR="00C255CB">
        <w:rPr>
          <w:rFonts w:ascii="Times New Roman" w:hAnsi="Times New Roman" w:cs="Times New Roman"/>
          <w:sz w:val="28"/>
          <w:szCs w:val="28"/>
        </w:rPr>
        <w:t>два совместных экспертно-аналитических мероприятий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со Счетной палатой  Российской Федерации</w:t>
      </w:r>
      <w:r w:rsidR="00FD0DD5">
        <w:rPr>
          <w:rFonts w:ascii="Times New Roman" w:hAnsi="Times New Roman" w:cs="Times New Roman"/>
          <w:sz w:val="28"/>
          <w:szCs w:val="28"/>
        </w:rPr>
        <w:t xml:space="preserve"> и одно контрольное мероприятие по обращению Прокуратуры Чукотского автономного округа</w:t>
      </w:r>
      <w:r w:rsidRPr="004039C7">
        <w:rPr>
          <w:rFonts w:ascii="Times New Roman" w:hAnsi="Times New Roman" w:cs="Times New Roman"/>
          <w:sz w:val="28"/>
          <w:szCs w:val="28"/>
        </w:rPr>
        <w:t xml:space="preserve">. </w:t>
      </w:r>
      <w:r w:rsidR="000A431A" w:rsidRPr="004039C7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и экспертно-аналитических мероприятий составлено </w:t>
      </w:r>
      <w:r w:rsidR="00064D61" w:rsidRPr="004039C7">
        <w:rPr>
          <w:rFonts w:ascii="Times New Roman" w:hAnsi="Times New Roman" w:cs="Times New Roman"/>
          <w:sz w:val="28"/>
          <w:szCs w:val="28"/>
        </w:rPr>
        <w:t>7 актов</w:t>
      </w:r>
      <w:r w:rsidR="00B4725A" w:rsidRPr="004039C7">
        <w:rPr>
          <w:rFonts w:ascii="Times New Roman" w:hAnsi="Times New Roman" w:cs="Times New Roman"/>
          <w:sz w:val="28"/>
          <w:szCs w:val="28"/>
        </w:rPr>
        <w:t>, 7</w:t>
      </w:r>
      <w:r w:rsidR="00E6316B" w:rsidRPr="004039C7">
        <w:rPr>
          <w:rFonts w:ascii="Times New Roman" w:hAnsi="Times New Roman" w:cs="Times New Roman"/>
          <w:sz w:val="28"/>
          <w:szCs w:val="28"/>
        </w:rPr>
        <w:t xml:space="preserve"> отчетов, </w:t>
      </w:r>
      <w:r w:rsidR="008D15DC">
        <w:rPr>
          <w:rFonts w:ascii="Times New Roman" w:hAnsi="Times New Roman" w:cs="Times New Roman"/>
          <w:sz w:val="28"/>
          <w:szCs w:val="28"/>
        </w:rPr>
        <w:t>30</w:t>
      </w:r>
      <w:r w:rsidR="00E6316B" w:rsidRPr="004039C7">
        <w:rPr>
          <w:rFonts w:ascii="Times New Roman" w:hAnsi="Times New Roman" w:cs="Times New Roman"/>
          <w:sz w:val="28"/>
          <w:szCs w:val="28"/>
        </w:rPr>
        <w:t xml:space="preserve"> заключений. </w:t>
      </w:r>
    </w:p>
    <w:p w:rsidR="00E6316B" w:rsidRPr="004039C7" w:rsidRDefault="00E6316B" w:rsidP="007B4BB6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Общий объем проверенных бюджетных средств </w:t>
      </w:r>
      <w:r w:rsidR="00831E41" w:rsidRPr="004039C7">
        <w:rPr>
          <w:rFonts w:ascii="Times New Roman" w:hAnsi="Times New Roman" w:cs="Times New Roman"/>
          <w:sz w:val="28"/>
          <w:szCs w:val="28"/>
        </w:rPr>
        <w:t>составил 1920,8 млн</w:t>
      </w:r>
      <w:proofErr w:type="gramStart"/>
      <w:r w:rsidR="00831E41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E41" w:rsidRPr="004039C7">
        <w:rPr>
          <w:rFonts w:ascii="Times New Roman" w:hAnsi="Times New Roman" w:cs="Times New Roman"/>
          <w:sz w:val="28"/>
          <w:szCs w:val="28"/>
        </w:rPr>
        <w:t>ублей. В ходе внешнего государственного финансового контроля выявлено 25 нарушений в финансово-бюджетной сфере, финансовая оценка которых составила 18,9 млн</w:t>
      </w:r>
      <w:proofErr w:type="gramStart"/>
      <w:r w:rsidR="00831E41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E41" w:rsidRPr="004039C7">
        <w:rPr>
          <w:rFonts w:ascii="Times New Roman" w:hAnsi="Times New Roman" w:cs="Times New Roman"/>
          <w:sz w:val="28"/>
          <w:szCs w:val="28"/>
        </w:rPr>
        <w:t>ублей. Кроме этого выявлено неэффективное использование бюджетных средств в сумме 7,4 млн</w:t>
      </w:r>
      <w:proofErr w:type="gramStart"/>
      <w:r w:rsidR="00831E41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1E41" w:rsidRPr="004039C7">
        <w:rPr>
          <w:rFonts w:ascii="Times New Roman" w:hAnsi="Times New Roman" w:cs="Times New Roman"/>
          <w:sz w:val="28"/>
          <w:szCs w:val="28"/>
        </w:rPr>
        <w:t>ублей.</w:t>
      </w:r>
    </w:p>
    <w:p w:rsidR="00831E41" w:rsidRPr="004039C7" w:rsidRDefault="00831E41" w:rsidP="006F6DAC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Для устранения выявленных нарушен</w:t>
      </w:r>
      <w:r w:rsidR="00906D7A" w:rsidRPr="004039C7">
        <w:rPr>
          <w:rFonts w:ascii="Times New Roman" w:hAnsi="Times New Roman" w:cs="Times New Roman"/>
          <w:sz w:val="28"/>
          <w:szCs w:val="28"/>
        </w:rPr>
        <w:t>ий,  проверенн</w:t>
      </w:r>
      <w:r w:rsidRPr="004039C7">
        <w:rPr>
          <w:rFonts w:ascii="Times New Roman" w:hAnsi="Times New Roman" w:cs="Times New Roman"/>
          <w:sz w:val="28"/>
          <w:szCs w:val="28"/>
        </w:rPr>
        <w:t xml:space="preserve">ым объектам направлено  3 представления, </w:t>
      </w:r>
      <w:r w:rsidR="007A2294" w:rsidRPr="004039C7">
        <w:rPr>
          <w:rFonts w:ascii="Times New Roman" w:hAnsi="Times New Roman" w:cs="Times New Roman"/>
          <w:sz w:val="28"/>
          <w:szCs w:val="28"/>
        </w:rPr>
        <w:t>из которых одно представление ис</w:t>
      </w:r>
      <w:r w:rsidRPr="004039C7">
        <w:rPr>
          <w:rFonts w:ascii="Times New Roman" w:hAnsi="Times New Roman" w:cs="Times New Roman"/>
          <w:sz w:val="28"/>
          <w:szCs w:val="28"/>
        </w:rPr>
        <w:t>полнено в установленные сроки, по двум представлениям сроки исполнения не наступили.</w:t>
      </w:r>
      <w:r w:rsidR="007B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B6A" w:rsidRPr="004039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7B6A" w:rsidRPr="004039C7">
        <w:rPr>
          <w:rFonts w:ascii="Times New Roman" w:hAnsi="Times New Roman" w:cs="Times New Roman"/>
          <w:sz w:val="28"/>
          <w:szCs w:val="28"/>
        </w:rPr>
        <w:t xml:space="preserve"> органы исполнительной власти </w:t>
      </w:r>
      <w:r w:rsidR="005D6862" w:rsidRPr="004039C7">
        <w:rPr>
          <w:rFonts w:ascii="Times New Roman" w:hAnsi="Times New Roman" w:cs="Times New Roman"/>
          <w:sz w:val="28"/>
          <w:szCs w:val="28"/>
        </w:rPr>
        <w:t>и органы местн</w:t>
      </w:r>
      <w:r w:rsidR="00FD0DD5">
        <w:rPr>
          <w:rFonts w:ascii="Times New Roman" w:hAnsi="Times New Roman" w:cs="Times New Roman"/>
          <w:sz w:val="28"/>
          <w:szCs w:val="28"/>
        </w:rPr>
        <w:t>ого самоуправления направлено 28 информационных писем. По результатам двух контрольных мероприятий</w:t>
      </w:r>
      <w:r w:rsidR="00F47B6A" w:rsidRPr="004039C7">
        <w:rPr>
          <w:rFonts w:ascii="Times New Roman" w:hAnsi="Times New Roman" w:cs="Times New Roman"/>
          <w:sz w:val="28"/>
          <w:szCs w:val="28"/>
        </w:rPr>
        <w:t xml:space="preserve">, материалы </w:t>
      </w:r>
      <w:r w:rsidR="005D6862" w:rsidRPr="004039C7">
        <w:rPr>
          <w:rFonts w:ascii="Times New Roman" w:hAnsi="Times New Roman" w:cs="Times New Roman"/>
          <w:sz w:val="28"/>
          <w:szCs w:val="28"/>
        </w:rPr>
        <w:t>переданы в Прокуратуру Чукотского автономного округа.</w:t>
      </w:r>
    </w:p>
    <w:p w:rsidR="00ED2289" w:rsidRPr="004039C7" w:rsidRDefault="00894D88" w:rsidP="00600167">
      <w:pPr>
        <w:spacing w:after="0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lastRenderedPageBreak/>
        <w:t>В отчетном квартале проведено 10</w:t>
      </w:r>
      <w:r w:rsidR="005D6862" w:rsidRPr="004039C7">
        <w:rPr>
          <w:rFonts w:ascii="Times New Roman" w:hAnsi="Times New Roman" w:cs="Times New Roman"/>
          <w:sz w:val="28"/>
          <w:szCs w:val="28"/>
        </w:rPr>
        <w:t xml:space="preserve"> финансово-экономических экспертиз проектов законодательных и иных нормативных правовых актов Чукотского ав</w:t>
      </w:r>
      <w:r w:rsidRPr="004039C7">
        <w:rPr>
          <w:rFonts w:ascii="Times New Roman" w:hAnsi="Times New Roman" w:cs="Times New Roman"/>
          <w:sz w:val="28"/>
          <w:szCs w:val="28"/>
        </w:rPr>
        <w:t>тономного округа, в том числе: 1 проект</w:t>
      </w:r>
      <w:r w:rsidR="005D6862" w:rsidRPr="004039C7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4039C7">
        <w:rPr>
          <w:rFonts w:ascii="Times New Roman" w:hAnsi="Times New Roman" w:cs="Times New Roman"/>
          <w:sz w:val="28"/>
          <w:szCs w:val="28"/>
        </w:rPr>
        <w:t>, 7</w:t>
      </w:r>
      <w:r w:rsidR="005D6862" w:rsidRPr="004039C7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 по внесению изменений в государственные программы</w:t>
      </w:r>
      <w:r w:rsidRPr="004039C7">
        <w:rPr>
          <w:rFonts w:ascii="Times New Roman" w:hAnsi="Times New Roman" w:cs="Times New Roman"/>
          <w:sz w:val="28"/>
          <w:szCs w:val="28"/>
        </w:rPr>
        <w:t xml:space="preserve"> и 2 по проектам иных нормат</w:t>
      </w:r>
      <w:r w:rsidR="00BE09C2">
        <w:rPr>
          <w:rFonts w:ascii="Times New Roman" w:hAnsi="Times New Roman" w:cs="Times New Roman"/>
          <w:sz w:val="28"/>
          <w:szCs w:val="28"/>
        </w:rPr>
        <w:t xml:space="preserve">ивных правовых актов. При этом </w:t>
      </w:r>
      <w:r w:rsidRPr="004039C7">
        <w:rPr>
          <w:rFonts w:ascii="Times New Roman" w:hAnsi="Times New Roman" w:cs="Times New Roman"/>
          <w:sz w:val="28"/>
          <w:szCs w:val="28"/>
        </w:rPr>
        <w:t>два проекта по внесению изменений в государственные программы прошли экспертизу с существенными  замечаниями. Инициаторам  проектов  предложено   доработать проекты и направить их в Счетную палату  на повторную экспертизу. По состоянию на 1 октября текущего года,  указанные проекты на экспертизу в Счетную палату не поступали.</w:t>
      </w:r>
    </w:p>
    <w:p w:rsidR="008F5FFC" w:rsidRPr="004039C7" w:rsidRDefault="00B93242" w:rsidP="0060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 xml:space="preserve">В отчетном квартале Счетная палата обратилась </w:t>
      </w:r>
      <w:r w:rsidR="008F5FFC" w:rsidRPr="004039C7">
        <w:rPr>
          <w:rFonts w:ascii="Times New Roman" w:hAnsi="Times New Roman" w:cs="Times New Roman"/>
          <w:sz w:val="28"/>
          <w:szCs w:val="28"/>
        </w:rPr>
        <w:t xml:space="preserve"> в Прокуратур</w:t>
      </w:r>
      <w:r w:rsidRPr="004039C7">
        <w:rPr>
          <w:rFonts w:ascii="Times New Roman" w:hAnsi="Times New Roman" w:cs="Times New Roman"/>
          <w:sz w:val="28"/>
          <w:szCs w:val="28"/>
        </w:rPr>
        <w:t>у Чукотского автономного округа  для</w:t>
      </w:r>
      <w:r w:rsidR="008F5FFC" w:rsidRPr="004039C7">
        <w:rPr>
          <w:rFonts w:ascii="Times New Roman" w:hAnsi="Times New Roman" w:cs="Times New Roman"/>
          <w:sz w:val="28"/>
          <w:szCs w:val="28"/>
        </w:rPr>
        <w:t xml:space="preserve"> принятия мер прокурорского реагирования на длящееся нарушение действующего законодательства в части применения нормативов отопления, утвержденных органами </w:t>
      </w:r>
      <w:r w:rsidRPr="004039C7">
        <w:rPr>
          <w:rFonts w:ascii="Times New Roman" w:hAnsi="Times New Roman" w:cs="Times New Roman"/>
          <w:sz w:val="28"/>
          <w:szCs w:val="28"/>
        </w:rPr>
        <w:t>местного самоуправления, при расчете региональных стандартов стоимости жилищно-коммунальных услуг, используемых для расчета субсидий на оплату жилого помещения и коммунальных услуг на первое и второе полугодие 2018 года для собственников жилых помещений, пользователей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жилых помещений, собственников в МКД, признанных аварийными, собственников жилых домов для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муниципальных районов. По результатам рассмотрения обращения Счетной палаты, Прокурором округа в адрес Правительства  Чукотского автономного округа вынесено представление.</w:t>
      </w:r>
    </w:p>
    <w:p w:rsidR="00DB2470" w:rsidRPr="004039C7" w:rsidRDefault="00DB2470" w:rsidP="0060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 Гласность и открытость Счетной палаты  при исполнении установленных полномочий обеспечивалась посредством размещения информационных материалов о деятельности: на официальном сайте Счетной палаты разме</w:t>
      </w:r>
      <w:r w:rsidR="00BE09C2">
        <w:rPr>
          <w:rFonts w:ascii="Times New Roman" w:hAnsi="Times New Roman" w:cs="Times New Roman"/>
          <w:sz w:val="28"/>
          <w:szCs w:val="28"/>
        </w:rPr>
        <w:t>щено 37 информационных материалов</w:t>
      </w:r>
      <w:r w:rsidRPr="004039C7">
        <w:rPr>
          <w:rFonts w:ascii="Times New Roman" w:hAnsi="Times New Roman" w:cs="Times New Roman"/>
          <w:sz w:val="28"/>
          <w:szCs w:val="28"/>
        </w:rPr>
        <w:t xml:space="preserve">, на портале Счетной палаты Российской Федерации и контрольно-счетных органов Российской Федерации 20 информационных материалов и 13 на портале ЕГИС государственного  финансового аудита (контроля). В соответствии с действующим законодательством все отчеты по контрольным и экспертно-аналитическим мероприятиям  направлялись Думе и Губернатору Чукотского автономного округа.   </w:t>
      </w:r>
    </w:p>
    <w:p w:rsidR="00E8649B" w:rsidRPr="004039C7" w:rsidRDefault="003B196B" w:rsidP="0060016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 третьем квартале проведено  </w:t>
      </w:r>
      <w:r w:rsidR="00D97F98" w:rsidRPr="004039C7">
        <w:rPr>
          <w:rFonts w:ascii="Times New Roman" w:hAnsi="Times New Roman" w:cs="Times New Roman"/>
          <w:sz w:val="28"/>
          <w:szCs w:val="28"/>
        </w:rPr>
        <w:t>6  заседаний Коллегии С</w:t>
      </w:r>
      <w:r w:rsidRPr="004039C7">
        <w:rPr>
          <w:rFonts w:ascii="Times New Roman" w:hAnsi="Times New Roman" w:cs="Times New Roman"/>
          <w:sz w:val="28"/>
          <w:szCs w:val="28"/>
        </w:rPr>
        <w:t>четной палаты, на которых рассматривались основные вопросы деятельности Счетной палаты.</w:t>
      </w:r>
    </w:p>
    <w:p w:rsidR="00C200BC" w:rsidRDefault="003B196B" w:rsidP="00600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В от</w:t>
      </w:r>
      <w:r w:rsidR="004039C7" w:rsidRPr="004039C7">
        <w:rPr>
          <w:rFonts w:ascii="Times New Roman" w:hAnsi="Times New Roman" w:cs="Times New Roman"/>
          <w:sz w:val="28"/>
          <w:szCs w:val="28"/>
        </w:rPr>
        <w:t>четном периоде два сотрудника  С</w:t>
      </w:r>
      <w:r w:rsidRPr="004039C7">
        <w:rPr>
          <w:rFonts w:ascii="Times New Roman" w:hAnsi="Times New Roman" w:cs="Times New Roman"/>
          <w:sz w:val="28"/>
          <w:szCs w:val="28"/>
        </w:rPr>
        <w:t xml:space="preserve">четной палаты повысили свою квалификацию на курсах: «Государственная служба: правовые и организационно- методические вопросы» и «Государственный и </w:t>
      </w:r>
      <w:r w:rsidRPr="004039C7">
        <w:rPr>
          <w:rFonts w:ascii="Times New Roman" w:hAnsi="Times New Roman" w:cs="Times New Roman"/>
          <w:sz w:val="28"/>
          <w:szCs w:val="28"/>
        </w:rPr>
        <w:lastRenderedPageBreak/>
        <w:t>муниципальный финансовый контроль». Специалисты Счетной палаты в течение 3 квартала принимали участие в видеоконференциях, проводимых Счетной палатой Российской Федерации.</w:t>
      </w:r>
    </w:p>
    <w:p w:rsidR="007B4BB6" w:rsidRPr="004039C7" w:rsidRDefault="007B4BB6" w:rsidP="007B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D0E" w:rsidRPr="004039C7" w:rsidRDefault="00345D0E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>2.</w:t>
      </w:r>
      <w:r w:rsidR="00C200BC" w:rsidRPr="004039C7">
        <w:rPr>
          <w:rFonts w:ascii="Times New Roman" w:hAnsi="Times New Roman" w:cs="Times New Roman"/>
          <w:b/>
          <w:sz w:val="28"/>
          <w:szCs w:val="28"/>
        </w:rPr>
        <w:t>Результаты контрольных мероприятий</w:t>
      </w:r>
    </w:p>
    <w:p w:rsidR="00345D0E" w:rsidRPr="004039C7" w:rsidRDefault="00345D0E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/>
          <w:b/>
          <w:sz w:val="28"/>
          <w:szCs w:val="28"/>
        </w:rPr>
        <w:t>Проверка законности и результативности использования средств окружного бюджета на организацию детского отдыха в 2017 году и истекшем периоде 2018 года, в том числе детей, оказавшихся в трудной жизненной ситуации и детей, посещающих учреждения дополнительного образования физкультурно-спортивной направленности</w:t>
      </w:r>
      <w:r w:rsidRPr="004039C7">
        <w:rPr>
          <w:rFonts w:ascii="Times New Roman" w:hAnsi="Times New Roman"/>
          <w:sz w:val="28"/>
          <w:szCs w:val="28"/>
        </w:rPr>
        <w:t xml:space="preserve"> проведена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в Департаменте образования, культуры и спорта Чукотского автономного округа (далее – Департамент образования) и Государственном автономном образовательном учреждении дополнительного образования Чукотского автономного округа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«Окружная детско-юношеская спортивная школа». </w:t>
      </w:r>
    </w:p>
    <w:p w:rsidR="00345D0E" w:rsidRPr="004039C7" w:rsidRDefault="00345D0E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Проверка проводилась с элементами аудита эффективности, с целью установления нормативной обеспеченности и законности процесса использования средств окружного бюджета, направленных на организацию детского отдыха в Чукотском автономном округе</w:t>
      </w:r>
      <w:r w:rsidR="00E11798" w:rsidRPr="004039C7">
        <w:rPr>
          <w:rFonts w:ascii="Times New Roman" w:hAnsi="Times New Roman" w:cs="Times New Roman"/>
          <w:sz w:val="28"/>
          <w:szCs w:val="28"/>
        </w:rPr>
        <w:t>, а также результативности использования бюджетных средств.</w:t>
      </w:r>
    </w:p>
    <w:p w:rsidR="00345D0E" w:rsidRPr="004039C7" w:rsidRDefault="00345D0E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проверяемом периоде бюджетные средства в сумме                                175,22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ублей, предусмотренные на организацию детского отдыха, направлены на реализацию мероприятия в полном объеме и на иные цели не отвлекались. Основной критерий оценки эффективности –  количество детей, охваченных организованным детским отдыхом</w:t>
      </w:r>
      <w:r w:rsidR="00E11798" w:rsidRPr="004039C7">
        <w:rPr>
          <w:rFonts w:ascii="Times New Roman" w:hAnsi="Times New Roman" w:cs="Times New Roman"/>
          <w:sz w:val="28"/>
          <w:szCs w:val="28"/>
        </w:rPr>
        <w:t xml:space="preserve"> при реализации мероприятий достигнут</w:t>
      </w:r>
      <w:proofErr w:type="gramStart"/>
      <w:r w:rsidR="00E11798" w:rsidRPr="004039C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11798" w:rsidRPr="004039C7">
        <w:rPr>
          <w:rFonts w:ascii="Times New Roman" w:hAnsi="Times New Roman" w:cs="Times New Roman"/>
          <w:sz w:val="28"/>
          <w:szCs w:val="28"/>
        </w:rPr>
        <w:t xml:space="preserve">ричем это показатель  </w:t>
      </w:r>
      <w:r w:rsidRPr="004039C7">
        <w:rPr>
          <w:rFonts w:ascii="Times New Roman" w:hAnsi="Times New Roman" w:cs="Times New Roman"/>
          <w:sz w:val="28"/>
          <w:szCs w:val="28"/>
        </w:rPr>
        <w:t>ежегодно увеличивается, что оказывает полож</w:t>
      </w:r>
      <w:r w:rsidR="00E11798" w:rsidRPr="004039C7">
        <w:rPr>
          <w:rFonts w:ascii="Times New Roman" w:hAnsi="Times New Roman" w:cs="Times New Roman"/>
          <w:sz w:val="28"/>
          <w:szCs w:val="28"/>
        </w:rPr>
        <w:t xml:space="preserve">ительное влияние на </w:t>
      </w:r>
      <w:r w:rsidR="008E3503" w:rsidRPr="004039C7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E11798" w:rsidRPr="004039C7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345D0E" w:rsidRPr="004039C7" w:rsidRDefault="00345D0E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то же время, установлены недостатки нормативного правового регулирования мероприятий, так Департаментом образования:</w:t>
      </w:r>
    </w:p>
    <w:p w:rsidR="00345D0E" w:rsidRPr="004039C7" w:rsidRDefault="00345D0E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 не разработан Порядок формирования  групп детей для участия в общероссийской Кремлевской елке, что свидетельствует о коррупционных рисках, заложенных в системе управления программных мероприятий. В 2017 году Департаментом самостоятельно принято решение о направлении группы детей в количестве 15 человек для участия в мероприятии;</w:t>
      </w:r>
    </w:p>
    <w:p w:rsidR="00345D0E" w:rsidRPr="004039C7" w:rsidRDefault="00345D0E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не разработано Положение о межведомственной комиссии по организации труда, развития, отдыха, оздоровления детей и подростков Чукотского автономного округа.</w:t>
      </w:r>
    </w:p>
    <w:p w:rsidR="00345D0E" w:rsidRPr="004039C7" w:rsidRDefault="00345D0E" w:rsidP="006F6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Департаментом не обеспечен контроль соблюдения муниципальными образованиями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муниципального района и Провиденского городского округа условий предоставления из окружного бюджета субсидии, </w:t>
      </w:r>
      <w:r w:rsidRPr="004039C7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не были достигнуты показатели результативности использования  субсидии на оплату стоимости питания детей в детских оздоровительных лагерях с дневным пребыванием детей (пришкольных площадках), что привело к безрезультатным расходам окружного бюджета в </w:t>
      </w:r>
      <w:r w:rsidR="00A3166F" w:rsidRPr="004039C7">
        <w:rPr>
          <w:rFonts w:ascii="Times New Roman" w:hAnsi="Times New Roman" w:cs="Times New Roman"/>
          <w:sz w:val="28"/>
          <w:szCs w:val="28"/>
        </w:rPr>
        <w:t>общей сумме 0,262 млн</w:t>
      </w:r>
      <w:proofErr w:type="gramStart"/>
      <w:r w:rsidR="00A3166F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66F" w:rsidRPr="004039C7">
        <w:rPr>
          <w:rFonts w:ascii="Times New Roman" w:hAnsi="Times New Roman" w:cs="Times New Roman"/>
          <w:sz w:val="28"/>
          <w:szCs w:val="28"/>
        </w:rPr>
        <w:t>ублей.</w:t>
      </w:r>
    </w:p>
    <w:p w:rsidR="00345D0E" w:rsidRPr="004039C7" w:rsidRDefault="00345D0E" w:rsidP="006F6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Кроме того, в нарушение пункта 3.4.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государственных программ Чукотского автономного округа, утвержденного Постановлением Правительства Чукотского  автономного округа от 10 сентября 2013 года №359, в Перечне целевых индикаторов (показателей) Государственной программы </w:t>
      </w:r>
      <w:r w:rsidRPr="004039C7">
        <w:rPr>
          <w:rFonts w:ascii="Times New Roman" w:hAnsi="Times New Roman" w:cs="Times New Roman"/>
          <w:bCs/>
          <w:sz w:val="28"/>
          <w:szCs w:val="28"/>
        </w:rPr>
        <w:t>не установлен</w:t>
      </w:r>
      <w:r w:rsidRPr="004039C7">
        <w:rPr>
          <w:rFonts w:ascii="Times New Roman" w:hAnsi="Times New Roman" w:cs="Times New Roman"/>
          <w:sz w:val="28"/>
          <w:szCs w:val="28"/>
        </w:rPr>
        <w:t xml:space="preserve"> целевой индикатор, характеризующий реализацию программного мероприятия </w:t>
      </w:r>
      <w:r w:rsidRPr="004039C7">
        <w:rPr>
          <w:rFonts w:ascii="Times New Roman" w:hAnsi="Times New Roman" w:cs="Times New Roman"/>
          <w:bCs/>
          <w:sz w:val="28"/>
          <w:szCs w:val="28"/>
        </w:rPr>
        <w:t>«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летней физкультурно-оздоровительной кампании для учащихся учреждений дополнительного образования детей физкультурно-спортивной направленности</w:t>
      </w:r>
      <w:r w:rsidRPr="004039C7">
        <w:rPr>
          <w:rFonts w:ascii="Times New Roman" w:hAnsi="Times New Roman" w:cs="Times New Roman"/>
          <w:bCs/>
          <w:sz w:val="28"/>
          <w:szCs w:val="28"/>
        </w:rPr>
        <w:t>»</w:t>
      </w:r>
      <w:r w:rsidRPr="00403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5D0E" w:rsidRPr="004039C7" w:rsidRDefault="00345D0E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 Департамента образования направлено представление Счетной палаты. Информационное письмо о коррупционных рисках (недостаточность административных процедур), выявленных в ходе контрольного мероприятия, направлено в Прокуратуру Чукотского автономного округа.</w:t>
      </w:r>
    </w:p>
    <w:p w:rsidR="008E3503" w:rsidRPr="004039C7" w:rsidRDefault="00345D0E" w:rsidP="006F6DA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представления, </w:t>
      </w:r>
      <w:r w:rsidR="008E3503" w:rsidRPr="004039C7">
        <w:rPr>
          <w:rFonts w:ascii="Times New Roman" w:eastAsia="Times New Roman" w:hAnsi="Times New Roman" w:cs="Times New Roman"/>
          <w:sz w:val="28"/>
          <w:szCs w:val="28"/>
        </w:rPr>
        <w:t xml:space="preserve">а также по итогам проверки Прокуратуры, </w:t>
      </w: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Департаментом </w:t>
      </w:r>
      <w:r w:rsidRPr="004039C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Pr="004039C7">
        <w:rPr>
          <w:rFonts w:ascii="Times New Roman" w:hAnsi="Times New Roman" w:cs="Times New Roman"/>
          <w:sz w:val="28"/>
          <w:szCs w:val="28"/>
        </w:rPr>
        <w:t>Порядок формирования групп детей для участия в общероссийской новогодней елке в Государственном Кремлевском дворце, разработан и находится в стадии согласования проект Постановления Правительства «Об утверждении Положения о межведомственной комиссии по организации труда, развития, отдыха, оздоровления детей и подростков Чукотского автономного округа» и проект «О внесении изменений в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Чукотского автономного округа от 29 декабря 2015 года №658» в целях установления целевого индикатора, характеризующего реализацию программного мероприятия. </w:t>
      </w:r>
    </w:p>
    <w:p w:rsidR="00345D0E" w:rsidRPr="004039C7" w:rsidRDefault="00345D0E" w:rsidP="006F6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b/>
          <w:sz w:val="28"/>
          <w:szCs w:val="28"/>
        </w:rPr>
        <w:t xml:space="preserve">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годы» за 2017 год и истекший период 2018 года, в части использования средств, выделенных СПК «Чукотка» </w:t>
      </w:r>
      <w:r w:rsidR="00A3166F" w:rsidRPr="004039C7"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8E3503" w:rsidRPr="004039C7">
        <w:rPr>
          <w:rFonts w:ascii="Times New Roman" w:hAnsi="Times New Roman" w:cs="Times New Roman"/>
          <w:sz w:val="28"/>
          <w:szCs w:val="28"/>
        </w:rPr>
        <w:t xml:space="preserve">в </w:t>
      </w:r>
      <w:r w:rsidRPr="004039C7">
        <w:rPr>
          <w:rFonts w:ascii="Times New Roman" w:hAnsi="Times New Roman" w:cs="Times New Roman"/>
          <w:sz w:val="28"/>
          <w:szCs w:val="28"/>
        </w:rPr>
        <w:t>Департамент</w:t>
      </w:r>
      <w:r w:rsidR="008E3503" w:rsidRPr="004039C7">
        <w:rPr>
          <w:rFonts w:ascii="Times New Roman" w:hAnsi="Times New Roman" w:cs="Times New Roman"/>
          <w:sz w:val="28"/>
          <w:szCs w:val="28"/>
        </w:rPr>
        <w:t>е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промышленной и сельскохозяйственной политики Чукотского автономного округа (далее – Департамент) и Сельскохозяйст</w:t>
      </w:r>
      <w:r w:rsidR="008E3503" w:rsidRPr="004039C7">
        <w:rPr>
          <w:rFonts w:ascii="Times New Roman" w:hAnsi="Times New Roman" w:cs="Times New Roman"/>
          <w:sz w:val="28"/>
          <w:szCs w:val="28"/>
        </w:rPr>
        <w:t xml:space="preserve">венном перерабатывающем снабженческо-сбытовом </w:t>
      </w:r>
      <w:r w:rsidR="008E3503" w:rsidRPr="004039C7">
        <w:rPr>
          <w:rFonts w:ascii="Times New Roman" w:hAnsi="Times New Roman" w:cs="Times New Roman"/>
          <w:sz w:val="28"/>
          <w:szCs w:val="28"/>
        </w:rPr>
        <w:lastRenderedPageBreak/>
        <w:t>потребительском</w:t>
      </w:r>
      <w:r w:rsidRPr="004039C7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8E3503" w:rsidRPr="004039C7">
        <w:rPr>
          <w:rFonts w:ascii="Times New Roman" w:hAnsi="Times New Roman" w:cs="Times New Roman"/>
          <w:sz w:val="28"/>
          <w:szCs w:val="28"/>
        </w:rPr>
        <w:t xml:space="preserve">е </w:t>
      </w:r>
      <w:r w:rsidRPr="004039C7">
        <w:rPr>
          <w:rFonts w:ascii="Times New Roman" w:hAnsi="Times New Roman" w:cs="Times New Roman"/>
          <w:sz w:val="28"/>
          <w:szCs w:val="28"/>
        </w:rPr>
        <w:t xml:space="preserve"> «Чукотка» (далее – СПК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 xml:space="preserve">Чукотка», кооператив).  </w:t>
      </w:r>
      <w:proofErr w:type="gramEnd"/>
    </w:p>
    <w:p w:rsidR="00345D0E" w:rsidRPr="004039C7" w:rsidRDefault="00345D0E" w:rsidP="006F6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>СПК «Чукотка» создан в июле 2015 года и в соответствии с Уставом является некоммерческой организацией,  созданной</w:t>
      </w:r>
      <w:r w:rsidRPr="004039C7">
        <w:rPr>
          <w:rFonts w:ascii="Times New Roman" w:hAnsi="Times New Roman" w:cs="Times New Roman"/>
          <w:sz w:val="28"/>
          <w:szCs w:val="28"/>
        </w:rPr>
        <w:tab/>
        <w:t>с целью удовлетворения потребностей в переработке и сбыте сельскохозяйственной продукции, входящих в его состав   17-ти сельскохозяйственных товаропроизводителей.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Основными видами деятельности СПК «Чукотка», в соответствии с Уставом, является переработка и сбыт сельскохозяйственной продукции, обеспечение товарами, необходимыми для сельскохозяйственного производства, потребительскими товарами (продовольствием, одеждой, топливом и др.), механизированное обслуживание сельскохозяйственных предприятий, выполнение транспортных, ремонтных, строительных работ. Согласно Уставу, не менее 50% работ (услуг), выполняемых кооперативом, должно осуществляться для членов кооператива.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 xml:space="preserve">Проверка показала, что положение Устава не выполнялось, в 2017 году   на </w:t>
      </w:r>
      <w:proofErr w:type="spellStart"/>
      <w:r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оленеубойном</w:t>
      </w:r>
      <w:proofErr w:type="spellEnd"/>
      <w:r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пункте на 94 км близ  с. Амгуэма</w:t>
      </w:r>
      <w:r w:rsidR="00A3166F"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принадлежащем кооперативу,</w:t>
      </w:r>
      <w:r w:rsidRPr="004039C7">
        <w:rPr>
          <w:rFonts w:ascii="Times New Roman" w:hAnsi="Times New Roman" w:cs="Times New Roman"/>
          <w:sz w:val="28"/>
          <w:szCs w:val="28"/>
        </w:rPr>
        <w:t xml:space="preserve"> забой оленей произвел только один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– МУП СХП «Амгуэма».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Информация и документы, подтверждающие осуществление других работ (услуг) для членов кооператива в ходе проверки не представлены.                    </w:t>
      </w:r>
    </w:p>
    <w:p w:rsidR="00345D0E" w:rsidRPr="004039C7" w:rsidRDefault="00345D0E" w:rsidP="006F6DA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За период со дня образования, СПК «Чукотка» из окр</w:t>
      </w:r>
      <w:r w:rsidR="00A3166F" w:rsidRPr="004039C7">
        <w:rPr>
          <w:rFonts w:ascii="Times New Roman" w:hAnsi="Times New Roman" w:cs="Times New Roman"/>
          <w:sz w:val="28"/>
          <w:szCs w:val="28"/>
        </w:rPr>
        <w:t>ужного и федерального бюджета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предоставлены субсидии по 10-ти направлениям в общей сумме 276,98 млн. рублей.</w:t>
      </w:r>
      <w:r w:rsidR="00A3166F" w:rsidRPr="004039C7">
        <w:rPr>
          <w:rFonts w:ascii="Times New Roman" w:eastAsia="Times New Roman" w:hAnsi="Times New Roman" w:cs="Times New Roman"/>
          <w:sz w:val="28"/>
          <w:szCs w:val="28"/>
        </w:rPr>
        <w:t xml:space="preserve"> В ходе проверки установлено </w:t>
      </w: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A3166F" w:rsidRPr="004039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 несмотря на значительный объем государственной финансовой поддержки, полученной СПК «Чукотка» на развитие кооператива, целевые показатели, предусмотренные Программой развития СПК «Чукотка», наличие которой </w:t>
      </w:r>
      <w:r w:rsidRPr="004039C7">
        <w:rPr>
          <w:rFonts w:ascii="Times New Roman" w:hAnsi="Times New Roman" w:cs="Times New Roman"/>
          <w:sz w:val="28"/>
          <w:szCs w:val="28"/>
        </w:rPr>
        <w:t>было основным условием получения грантов в 2015-2016 годах,</w:t>
      </w: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 не достигнуты. </w:t>
      </w:r>
      <w:r w:rsidRPr="004039C7">
        <w:rPr>
          <w:rFonts w:ascii="Times New Roman" w:hAnsi="Times New Roman" w:cs="Times New Roman"/>
          <w:sz w:val="28"/>
          <w:szCs w:val="28"/>
        </w:rPr>
        <w:t xml:space="preserve">Проверка показала, что средства гранта </w:t>
      </w:r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развитие материально-технической базы, полученные кооперативом в 2015-2017 годах, использованы неэффективно – </w:t>
      </w:r>
      <w:r w:rsidRPr="004039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Pr="004039C7">
        <w:rPr>
          <w:rFonts w:ascii="Times New Roman" w:hAnsi="Times New Roman" w:cs="Times New Roman"/>
          <w:sz w:val="28"/>
          <w:szCs w:val="28"/>
        </w:rPr>
        <w:t xml:space="preserve">аботы по капитальному ремонту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оленеубойного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пункта на 94 км близ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мгуэма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, в рамках заключенного с                       АО «ЧТК» договора подряда общей стоимостью работ 102,68 млн.рублей проведены некачественно, что было выявлено </w:t>
      </w:r>
      <w:r w:rsidRPr="004039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</w:t>
      </w:r>
      <w:r w:rsidRPr="004039C7">
        <w:rPr>
          <w:rStyle w:val="FontStyle13"/>
          <w:sz w:val="28"/>
          <w:szCs w:val="28"/>
        </w:rPr>
        <w:t xml:space="preserve"> время проведения забойной кампании в 2017 году. П</w:t>
      </w:r>
      <w:r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риобретенная </w:t>
      </w:r>
      <w:proofErr w:type="spellStart"/>
      <w:r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>лиофильная</w:t>
      </w:r>
      <w:proofErr w:type="spellEnd"/>
      <w:r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сушка на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оленеубойном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пункте</w:t>
      </w:r>
      <w:r w:rsidRPr="004039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используется, на сегодняшний день </w:t>
      </w:r>
      <w:r w:rsidRPr="004039C7">
        <w:rPr>
          <w:rFonts w:ascii="Times New Roman" w:hAnsi="Times New Roman" w:cs="Times New Roman"/>
          <w:sz w:val="28"/>
          <w:szCs w:val="28"/>
        </w:rPr>
        <w:t>дорогостоящее оборудование стоимостью 9,4</w:t>
      </w:r>
      <w:r w:rsidR="00A3166F" w:rsidRPr="004039C7">
        <w:rPr>
          <w:rFonts w:ascii="Times New Roman" w:hAnsi="Times New Roman" w:cs="Times New Roman"/>
          <w:sz w:val="28"/>
          <w:szCs w:val="28"/>
        </w:rPr>
        <w:t>6 млн</w:t>
      </w:r>
      <w:proofErr w:type="gramStart"/>
      <w:r w:rsidR="00A3166F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3166F" w:rsidRPr="004039C7">
        <w:rPr>
          <w:rFonts w:ascii="Times New Roman" w:hAnsi="Times New Roman" w:cs="Times New Roman"/>
          <w:sz w:val="28"/>
          <w:szCs w:val="28"/>
        </w:rPr>
        <w:t>ублей простаивает.</w:t>
      </w:r>
    </w:p>
    <w:p w:rsidR="00345D0E" w:rsidRPr="004039C7" w:rsidRDefault="00345D0E" w:rsidP="006F6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нарушение условий соглашения о предоставлении гранта, до настоящего времени не поставлены два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Снегоболотохода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с прицепом на сумму 7,12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ублей, оплата за которые произведена кооперативом еще в 2016 году. Задержка поставки спецтехники, предназначенной для перевозки </w:t>
      </w:r>
      <w:r w:rsidRPr="004039C7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сельскохозяйственной продукции, на срок около 2-х лет, свидетельствует об отвлечении бюджетных сре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ебиторскую задолженность, и как следствие, неэффективном их использовании. П</w:t>
      </w:r>
      <w:r w:rsidRPr="004039C7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ункты сбора дикоросов в районах округа </w:t>
      </w:r>
      <w:r w:rsidRPr="004039C7">
        <w:rPr>
          <w:rFonts w:ascii="Times New Roman" w:hAnsi="Times New Roman" w:cs="Times New Roman"/>
          <w:sz w:val="28"/>
          <w:szCs w:val="28"/>
        </w:rPr>
        <w:t>не созданы,</w:t>
      </w:r>
      <w:r w:rsidRPr="004039C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закупленные СПК «Чукотка» 10 сборных морозильных камер в комплекте с морозильными агрегатами </w:t>
      </w:r>
      <w:r w:rsidRPr="004039C7">
        <w:rPr>
          <w:rFonts w:ascii="Times New Roman" w:hAnsi="Times New Roman" w:cs="Times New Roman"/>
          <w:sz w:val="28"/>
          <w:szCs w:val="28"/>
        </w:rPr>
        <w:t xml:space="preserve">хранятся на складе кооператива. </w:t>
      </w:r>
    </w:p>
    <w:p w:rsidR="00345D0E" w:rsidRPr="004039C7" w:rsidRDefault="00345D0E" w:rsidP="006F6DAC">
      <w:pPr>
        <w:pStyle w:val="a3"/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Счетной палатой установлено, что в нарушение условий соглашения о предоставлении гранта на приобретение спецтехники, СПК «Чукотка» в период 2016-2017 годов не обеспечена закупка и поставка в округ 17 единиц </w:t>
      </w:r>
      <w:r w:rsidR="009C4236" w:rsidRPr="004039C7">
        <w:rPr>
          <w:rFonts w:ascii="Times New Roman" w:hAnsi="Times New Roman" w:cs="Times New Roman"/>
          <w:sz w:val="28"/>
          <w:szCs w:val="28"/>
        </w:rPr>
        <w:t>тракторов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стоимостью 35,37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ублей, предназначенных для сельхозпредприятий округа, входящих в состав кооператива. Отсутствие спецтехники негативно сказалось на выполнении целевых индикаторов сельскохозяйственного прои</w:t>
      </w:r>
      <w:r w:rsidR="009C4236" w:rsidRPr="004039C7">
        <w:rPr>
          <w:rFonts w:ascii="Times New Roman" w:hAnsi="Times New Roman" w:cs="Times New Roman"/>
          <w:sz w:val="28"/>
          <w:szCs w:val="28"/>
        </w:rPr>
        <w:t xml:space="preserve">зводства. </w:t>
      </w:r>
    </w:p>
    <w:p w:rsidR="00D51A72" w:rsidRPr="004039C7" w:rsidRDefault="00345D0E" w:rsidP="006F6DAC">
      <w:pPr>
        <w:pStyle w:val="ConsPlusNormal0"/>
        <w:spacing w:line="276" w:lineRule="auto"/>
        <w:ind w:firstLine="709"/>
        <w:jc w:val="both"/>
      </w:pPr>
      <w:r w:rsidRPr="004039C7">
        <w:t xml:space="preserve">Проверка показала, что в проверяемом периоде кооперативу неправомерно предоставлена субсидия на стимулирование производства мяса оленей в </w:t>
      </w:r>
      <w:r w:rsidR="00D51A72" w:rsidRPr="004039C7">
        <w:t>общей сумме 4,78 млн</w:t>
      </w:r>
      <w:proofErr w:type="gramStart"/>
      <w:r w:rsidR="00D51A72" w:rsidRPr="004039C7">
        <w:t>.р</w:t>
      </w:r>
      <w:proofErr w:type="gramEnd"/>
      <w:r w:rsidR="00D51A72" w:rsidRPr="004039C7">
        <w:t>ублей для</w:t>
      </w:r>
      <w:r w:rsidRPr="004039C7">
        <w:t xml:space="preserve"> оплаты труда работников административно-управл</w:t>
      </w:r>
      <w:r w:rsidR="00AC62DF" w:rsidRPr="004039C7">
        <w:t>енческого персонала.</w:t>
      </w:r>
    </w:p>
    <w:p w:rsidR="00A93F23" w:rsidRPr="004039C7" w:rsidRDefault="00345D0E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Счетной палатой в ходе проверки в СПК «Чукотка» установлено отсутствие первичных документов, подтверждающих расходы, произведенные за счет средств субсидии на доставку мясной продукции оленеводства от забойных пунктов до торгово-перерабатывающего предприятия, на общую сумму 9,90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345D0E" w:rsidRPr="004039C7" w:rsidRDefault="00345D0E" w:rsidP="006F6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По итогам контрольного мероприятия, для устранения выявленных нарушений, Счетной п</w:t>
      </w:r>
      <w:r w:rsidR="009C4236" w:rsidRPr="004039C7">
        <w:rPr>
          <w:rFonts w:ascii="Times New Roman" w:hAnsi="Times New Roman" w:cs="Times New Roman"/>
          <w:sz w:val="28"/>
          <w:szCs w:val="28"/>
        </w:rPr>
        <w:t xml:space="preserve">алатой направлены представления Департаменту и СПК «Чукотка». </w:t>
      </w:r>
      <w:r w:rsidRPr="004039C7">
        <w:rPr>
          <w:rFonts w:ascii="Times New Roman" w:hAnsi="Times New Roman" w:cs="Times New Roman"/>
          <w:sz w:val="28"/>
          <w:szCs w:val="28"/>
        </w:rPr>
        <w:t>В адрес Управления Федеральной налоговой службы по Чукотскому автономному округу направлено информационное письмо о выявленных в СПК «Чукотка» нарушениях, касающихся ведения бухгалтерского учета и отсутствия регистрации фактически осуществляемых кооперативом видов экономической деятельности. Кроме того, копии материалов контрольного мероприятия направлены в Прокуратуру Чукотского автономного округа.</w:t>
      </w:r>
    </w:p>
    <w:p w:rsidR="00345D0E" w:rsidRPr="004039C7" w:rsidRDefault="00A93F23" w:rsidP="006F6DA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Сроки исполнения представлений не </w:t>
      </w:r>
      <w:proofErr w:type="gramStart"/>
      <w:r w:rsidRPr="004039C7">
        <w:rPr>
          <w:rFonts w:ascii="Times New Roman" w:eastAsia="Times New Roman" w:hAnsi="Times New Roman" w:cs="Times New Roman"/>
          <w:sz w:val="28"/>
          <w:szCs w:val="28"/>
        </w:rPr>
        <w:t>наступили</w:t>
      </w:r>
      <w:proofErr w:type="gramEnd"/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 и их исполнение </w:t>
      </w:r>
      <w:r w:rsidR="00345D0E" w:rsidRPr="004039C7">
        <w:rPr>
          <w:rFonts w:ascii="Times New Roman" w:eastAsia="Times New Roman" w:hAnsi="Times New Roman" w:cs="Times New Roman"/>
          <w:sz w:val="28"/>
          <w:szCs w:val="28"/>
        </w:rPr>
        <w:t xml:space="preserve"> находится на контроле Счетной палаты.</w:t>
      </w:r>
    </w:p>
    <w:p w:rsidR="00345D0E" w:rsidRPr="004039C7" w:rsidRDefault="00345D0E" w:rsidP="006F6DA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ab/>
      </w:r>
    </w:p>
    <w:p w:rsidR="00345D0E" w:rsidRPr="004039C7" w:rsidRDefault="00345D0E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b/>
          <w:sz w:val="28"/>
          <w:szCs w:val="28"/>
        </w:rPr>
        <w:t xml:space="preserve">Проверка реализации мероприятий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округе, в рамках Государственной программы Чукотского автономного округа «Развитие </w:t>
      </w:r>
      <w:r w:rsidRPr="004039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здравоохранения Чукотского автономного округа на 2016-2020 годы» за 2017 год </w:t>
      </w:r>
      <w:r w:rsidR="00EA5E2D" w:rsidRPr="004039C7">
        <w:rPr>
          <w:rFonts w:ascii="Times New Roman" w:hAnsi="Times New Roman" w:cs="Times New Roman"/>
          <w:sz w:val="28"/>
          <w:szCs w:val="28"/>
        </w:rPr>
        <w:t xml:space="preserve">проведена в Государственном бюджетном учреждении </w:t>
      </w:r>
      <w:r w:rsidRPr="004039C7">
        <w:rPr>
          <w:rFonts w:ascii="Times New Roman" w:hAnsi="Times New Roman" w:cs="Times New Roman"/>
          <w:sz w:val="28"/>
          <w:szCs w:val="28"/>
        </w:rPr>
        <w:t>здравоохранения «Чукотская окружная больница» (далее – Окружная больница) и Департамент</w:t>
      </w:r>
      <w:r w:rsidR="00EA5E2D" w:rsidRPr="004039C7">
        <w:rPr>
          <w:rFonts w:ascii="Times New Roman" w:hAnsi="Times New Roman" w:cs="Times New Roman"/>
          <w:sz w:val="28"/>
          <w:szCs w:val="28"/>
        </w:rPr>
        <w:t xml:space="preserve">е 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социальной политики Чукотского автономного округа (далее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 – 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Департамент с</w:t>
      </w:r>
      <w:r w:rsidR="009C4236" w:rsidRPr="004039C7">
        <w:rPr>
          <w:rFonts w:ascii="Times New Roman" w:hAnsi="Times New Roman" w:cs="Times New Roman"/>
          <w:sz w:val="28"/>
          <w:szCs w:val="28"/>
        </w:rPr>
        <w:t>оциальной политики)</w:t>
      </w:r>
      <w:r w:rsidRPr="00403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Контрольное мероприятие проводилась с целью установления нормативной обеспеченности приоритетного проекта «Обеспечение своевременности оказания экстренной медицинской помощи гражданам, проживающим в труднодоступных районах Российской Федерации» в Чукотском автономном округе (далее – приоритетный проект),  а также законности и результативности использования бюджетных средств на реализацию мероприятия приоритетного проекта за 2017 год.</w:t>
      </w:r>
      <w:r w:rsidR="006F6DAC" w:rsidRPr="004039C7">
        <w:rPr>
          <w:rFonts w:ascii="Times New Roman" w:hAnsi="Times New Roman" w:cs="Times New Roman"/>
          <w:sz w:val="28"/>
          <w:szCs w:val="28"/>
        </w:rPr>
        <w:t xml:space="preserve"> Проверкой установлено следующее.</w:t>
      </w:r>
    </w:p>
    <w:p w:rsidR="00345D0E" w:rsidRPr="004039C7" w:rsidRDefault="00345D0E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Чукотский автономный округ включен в состав участников федерального проекта «Развитие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>» на условиях софинансирования расходо</w:t>
      </w:r>
      <w:r w:rsidR="008C4E37" w:rsidRPr="004039C7">
        <w:rPr>
          <w:rFonts w:ascii="Times New Roman" w:hAnsi="Times New Roman" w:cs="Times New Roman"/>
          <w:sz w:val="28"/>
          <w:szCs w:val="28"/>
        </w:rPr>
        <w:t xml:space="preserve">в по приоритетному проекту. </w:t>
      </w:r>
      <w:r w:rsidRPr="004039C7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мероприятия на 2017 год составило 172,88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ублей, при этом за счет средств субсидии из федерального бюджета – 154,89 млн.рублей, окружного бюджета – 17, 99 млн.рублей. </w:t>
      </w:r>
    </w:p>
    <w:p w:rsidR="00345D0E" w:rsidRPr="004039C7" w:rsidRDefault="00345D0E" w:rsidP="006F6DAC">
      <w:pPr>
        <w:pStyle w:val="1"/>
        <w:spacing w:line="276" w:lineRule="auto"/>
        <w:ind w:firstLine="709"/>
      </w:pPr>
      <w:r w:rsidRPr="004039C7">
        <w:t>Правительством Чукотского автономного округа соблюдены основные этапы и контрольные точки реализации приоритетного проекта, разработаны и утверждены нормативные правовые акты и распорядительные документы, регламентирующие организацию и проведение санитарно-</w:t>
      </w:r>
      <w:r w:rsidR="00B759BF" w:rsidRPr="004039C7">
        <w:t>авиационной эвакуации.</w:t>
      </w:r>
    </w:p>
    <w:p w:rsidR="00345D0E" w:rsidRPr="004039C7" w:rsidRDefault="00345D0E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рамках приоритетного проекта предприятием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оказаны </w:t>
      </w:r>
      <w:r w:rsidR="00EA5E2D" w:rsidRPr="004039C7">
        <w:rPr>
          <w:rFonts w:ascii="Times New Roman" w:hAnsi="Times New Roman" w:cs="Times New Roman"/>
          <w:sz w:val="28"/>
          <w:szCs w:val="28"/>
        </w:rPr>
        <w:t xml:space="preserve"> ГБУЗ «Чукотская окружная больница»  </w:t>
      </w:r>
      <w:r w:rsidRPr="004039C7">
        <w:rPr>
          <w:rFonts w:ascii="Times New Roman" w:hAnsi="Times New Roman" w:cs="Times New Roman"/>
          <w:sz w:val="28"/>
          <w:szCs w:val="28"/>
        </w:rPr>
        <w:t>авиационные услуги на сумму 172,88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ублей, в том числе: на выполнение поле</w:t>
      </w:r>
      <w:r w:rsidR="00EA5E2D" w:rsidRPr="004039C7">
        <w:rPr>
          <w:rFonts w:ascii="Times New Roman" w:hAnsi="Times New Roman" w:cs="Times New Roman"/>
          <w:sz w:val="28"/>
          <w:szCs w:val="28"/>
        </w:rPr>
        <w:t xml:space="preserve">тов воздушными судами – </w:t>
      </w:r>
      <w:r w:rsidRPr="004039C7">
        <w:rPr>
          <w:rFonts w:ascii="Times New Roman" w:hAnsi="Times New Roman" w:cs="Times New Roman"/>
          <w:sz w:val="28"/>
          <w:szCs w:val="28"/>
        </w:rPr>
        <w:t xml:space="preserve"> 116,26 млн.рублей, на п</w:t>
      </w:r>
      <w:r w:rsidR="00EA5E2D" w:rsidRPr="004039C7">
        <w:rPr>
          <w:rFonts w:ascii="Times New Roman" w:hAnsi="Times New Roman" w:cs="Times New Roman"/>
          <w:sz w:val="28"/>
          <w:szCs w:val="28"/>
        </w:rPr>
        <w:t>редполетное дежурство – </w:t>
      </w:r>
      <w:r w:rsidRPr="004039C7">
        <w:rPr>
          <w:rFonts w:ascii="Times New Roman" w:hAnsi="Times New Roman" w:cs="Times New Roman"/>
          <w:sz w:val="28"/>
          <w:szCs w:val="28"/>
        </w:rPr>
        <w:t xml:space="preserve"> 56,62 млн.рублей. </w:t>
      </w:r>
    </w:p>
    <w:p w:rsidR="00345D0E" w:rsidRPr="004039C7" w:rsidRDefault="002556B9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</w:t>
      </w:r>
      <w:r w:rsidR="00345D0E" w:rsidRPr="004039C7">
        <w:rPr>
          <w:rFonts w:ascii="Times New Roman" w:hAnsi="Times New Roman" w:cs="Times New Roman"/>
          <w:sz w:val="28"/>
          <w:szCs w:val="28"/>
        </w:rPr>
        <w:t>ри проверке первичных учетных документов, установлено, что при транспортировке пациентов и медицинских работников, не предусмотрено страхование их жизни (ответственность перевозчика за причинение вреда жизни или здоровью пассажира воздушно</w:t>
      </w:r>
      <w:r w:rsidRPr="004039C7">
        <w:rPr>
          <w:rFonts w:ascii="Times New Roman" w:hAnsi="Times New Roman" w:cs="Times New Roman"/>
          <w:sz w:val="28"/>
          <w:szCs w:val="28"/>
        </w:rPr>
        <w:t xml:space="preserve">го судна).  Статьей </w:t>
      </w:r>
      <w:r w:rsidR="00345D0E" w:rsidRPr="004039C7">
        <w:rPr>
          <w:rFonts w:ascii="Times New Roman" w:hAnsi="Times New Roman" w:cs="Times New Roman"/>
          <w:sz w:val="28"/>
          <w:szCs w:val="28"/>
        </w:rPr>
        <w:t xml:space="preserve"> 117 Воздушного кодекса предусмотрена ответственность перевозчика за причинение вреда жизни или здоровью пассажира воздушного судна, в то время как статус пациента и медицинского работника при осуществлении санитарно-авиационной эвакуации воздушными судами, нормативно не определен.</w:t>
      </w:r>
    </w:p>
    <w:p w:rsidR="00345D0E" w:rsidRPr="004039C7" w:rsidRDefault="007C77EF" w:rsidP="006F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   Показатель</w:t>
      </w:r>
      <w:r w:rsidR="00345D0E" w:rsidRPr="004039C7">
        <w:rPr>
          <w:rFonts w:ascii="Times New Roman" w:hAnsi="Times New Roman" w:cs="Times New Roman"/>
          <w:sz w:val="28"/>
          <w:szCs w:val="28"/>
        </w:rPr>
        <w:t xml:space="preserve"> результативности приоритетного проекта по мероприятию «Закупка авиационной услуги для оказания медицинской помощи (скорой </w:t>
      </w:r>
      <w:r w:rsidR="00345D0E" w:rsidRPr="004039C7">
        <w:rPr>
          <w:rFonts w:ascii="Times New Roman" w:hAnsi="Times New Roman" w:cs="Times New Roman"/>
          <w:sz w:val="28"/>
          <w:szCs w:val="28"/>
        </w:rPr>
        <w:lastRenderedPageBreak/>
        <w:t>специализированной медицинской помощи) с применением авиации гражданам, проживающим в труднодоступных районах»</w:t>
      </w:r>
      <w:r w:rsidRPr="004039C7">
        <w:rPr>
          <w:rFonts w:ascii="Times New Roman" w:hAnsi="Times New Roman" w:cs="Times New Roman"/>
          <w:sz w:val="28"/>
          <w:szCs w:val="28"/>
        </w:rPr>
        <w:t xml:space="preserve"> (71% на 2017 год) составил</w:t>
      </w:r>
      <w:r w:rsidR="00345D0E" w:rsidRPr="004039C7">
        <w:rPr>
          <w:rFonts w:ascii="Times New Roman" w:hAnsi="Times New Roman" w:cs="Times New Roman"/>
          <w:sz w:val="28"/>
          <w:szCs w:val="28"/>
        </w:rPr>
        <w:t xml:space="preserve"> 100% к плано</w:t>
      </w:r>
      <w:r w:rsidRPr="004039C7">
        <w:rPr>
          <w:rFonts w:ascii="Times New Roman" w:hAnsi="Times New Roman" w:cs="Times New Roman"/>
          <w:sz w:val="28"/>
          <w:szCs w:val="28"/>
        </w:rPr>
        <w:t>вому значению.</w:t>
      </w:r>
    </w:p>
    <w:p w:rsidR="00345D0E" w:rsidRPr="004039C7" w:rsidRDefault="00345D0E" w:rsidP="006F6DA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Несмотря на выполнение приоритетного проекта в целом, Счетная палата отмечает недостаточный контроль Департамента социальной политики, так:</w:t>
      </w:r>
    </w:p>
    <w:p w:rsidR="00815DF2" w:rsidRPr="004039C7" w:rsidRDefault="00345D0E" w:rsidP="006F6DA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до настоящ</w:t>
      </w:r>
      <w:r w:rsidR="00815DF2" w:rsidRPr="004039C7">
        <w:rPr>
          <w:rFonts w:ascii="Times New Roman" w:hAnsi="Times New Roman" w:cs="Times New Roman"/>
          <w:sz w:val="28"/>
          <w:szCs w:val="28"/>
        </w:rPr>
        <w:t xml:space="preserve">его времени не синхронизированы между собой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программа «Обеспечение оказания экстренной медицинской помощи гражданам, проживающим в Чукотском автоно</w:t>
      </w:r>
      <w:r w:rsidR="007C77EF" w:rsidRPr="004039C7">
        <w:rPr>
          <w:rFonts w:ascii="Times New Roman" w:hAnsi="Times New Roman" w:cs="Times New Roman"/>
          <w:sz w:val="28"/>
          <w:szCs w:val="28"/>
        </w:rPr>
        <w:t>мном округе, на 2017-2019 годы»</w:t>
      </w:r>
      <w:r w:rsidRPr="004039C7">
        <w:rPr>
          <w:rFonts w:ascii="Times New Roman" w:hAnsi="Times New Roman" w:cs="Times New Roman"/>
          <w:sz w:val="28"/>
          <w:szCs w:val="28"/>
        </w:rPr>
        <w:t xml:space="preserve"> и Государственная программа «Развитие здравоохранения Чукотского автономного о</w:t>
      </w:r>
      <w:r w:rsidR="007C77EF" w:rsidRPr="004039C7">
        <w:rPr>
          <w:rFonts w:ascii="Times New Roman" w:hAnsi="Times New Roman" w:cs="Times New Roman"/>
          <w:sz w:val="28"/>
          <w:szCs w:val="28"/>
        </w:rPr>
        <w:t xml:space="preserve">круга на 2016-2020 годы»,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в части объемов финансирования ме</w:t>
      </w:r>
      <w:r w:rsidR="00815DF2" w:rsidRPr="004039C7">
        <w:rPr>
          <w:rFonts w:ascii="Times New Roman" w:hAnsi="Times New Roman" w:cs="Times New Roman"/>
          <w:sz w:val="28"/>
          <w:szCs w:val="28"/>
        </w:rPr>
        <w:t xml:space="preserve">роприятия приоритетного проекта; </w:t>
      </w:r>
    </w:p>
    <w:p w:rsidR="00345D0E" w:rsidRPr="004039C7" w:rsidRDefault="00345D0E" w:rsidP="006F6DAC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в отчете об исполнении Государственной программы за 2017 год, представленном Департаментом социальной политики, отсутствует полная информация о реализации мероприятия приоритетного проекта, кроме того, с момента утверждения проекта, материалы</w:t>
      </w:r>
      <w:r w:rsidR="007C77EF" w:rsidRPr="004039C7">
        <w:rPr>
          <w:rFonts w:ascii="Times New Roman" w:hAnsi="Times New Roman" w:cs="Times New Roman"/>
          <w:sz w:val="28"/>
          <w:szCs w:val="28"/>
        </w:rPr>
        <w:t xml:space="preserve"> его реализации не размещаются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в информационно-телекоммуникационной сети «Интернет». </w:t>
      </w:r>
    </w:p>
    <w:p w:rsidR="00345D0E" w:rsidRPr="004039C7" w:rsidRDefault="00345D0E" w:rsidP="006F6D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Для устранения выявленных в ходе контрольного мероприятия недостатков, Департаменту социальной политики направлено информ</w:t>
      </w:r>
      <w:r w:rsidR="007C77EF" w:rsidRPr="004039C7">
        <w:rPr>
          <w:rFonts w:ascii="Times New Roman" w:hAnsi="Times New Roman" w:cs="Times New Roman"/>
          <w:sz w:val="28"/>
          <w:szCs w:val="28"/>
        </w:rPr>
        <w:t xml:space="preserve">ационное письмо с  соответствующими рекомендациями, исполнение которых 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находится на контроле Счетной палаты.</w:t>
      </w:r>
    </w:p>
    <w:p w:rsidR="00345D0E" w:rsidRPr="004039C7" w:rsidRDefault="00345D0E" w:rsidP="006F6DA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2FA3" w:rsidRPr="004039C7" w:rsidRDefault="008B2FA3" w:rsidP="006F6D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ab/>
      </w:r>
      <w:proofErr w:type="gramStart"/>
      <w:r w:rsidRPr="004039C7">
        <w:rPr>
          <w:rFonts w:ascii="Times New Roman" w:hAnsi="Times New Roman"/>
          <w:b/>
          <w:sz w:val="28"/>
          <w:szCs w:val="28"/>
        </w:rPr>
        <w:t xml:space="preserve">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годы» Подпрограммы «Совершенствование и развитие сети автомобильных дорог», мероприятий по реконструкции автомобильных дорог общего пользования регионального значения и сооружений на них за 2014-2017 годы </w:t>
      </w:r>
      <w:r w:rsidRPr="004039C7">
        <w:rPr>
          <w:rFonts w:ascii="Times New Roman" w:hAnsi="Times New Roman"/>
          <w:sz w:val="28"/>
          <w:szCs w:val="28"/>
        </w:rPr>
        <w:t xml:space="preserve">проведена </w:t>
      </w:r>
      <w:r w:rsidRPr="004039C7">
        <w:rPr>
          <w:sz w:val="28"/>
          <w:szCs w:val="28"/>
        </w:rPr>
        <w:t xml:space="preserve">в </w:t>
      </w:r>
      <w:r w:rsidRPr="004039C7">
        <w:rPr>
          <w:rFonts w:ascii="Times New Roman" w:hAnsi="Times New Roman"/>
          <w:sz w:val="28"/>
          <w:szCs w:val="28"/>
        </w:rPr>
        <w:t>Департаменте промышленной и сельскохозяйственной политики Чукотск</w:t>
      </w:r>
      <w:r w:rsidR="004039C7" w:rsidRPr="004039C7">
        <w:rPr>
          <w:rFonts w:ascii="Times New Roman" w:hAnsi="Times New Roman"/>
          <w:sz w:val="28"/>
          <w:szCs w:val="28"/>
        </w:rPr>
        <w:t>ого автономного округа</w:t>
      </w:r>
      <w:r w:rsidRPr="004039C7">
        <w:rPr>
          <w:rFonts w:ascii="Times New Roman" w:hAnsi="Times New Roman"/>
          <w:sz w:val="28"/>
          <w:szCs w:val="28"/>
        </w:rPr>
        <w:t xml:space="preserve"> и Государственном казённом учреждении Чукотского автономного округа «Управление автомобильных</w:t>
      </w:r>
      <w:proofErr w:type="gramEnd"/>
      <w:r w:rsidRPr="004039C7">
        <w:rPr>
          <w:rFonts w:ascii="Times New Roman" w:hAnsi="Times New Roman"/>
          <w:sz w:val="28"/>
          <w:szCs w:val="28"/>
        </w:rPr>
        <w:t xml:space="preserve"> дорог Чукот</w:t>
      </w:r>
      <w:r w:rsidR="004039C7" w:rsidRPr="004039C7">
        <w:rPr>
          <w:rFonts w:ascii="Times New Roman" w:hAnsi="Times New Roman"/>
          <w:sz w:val="28"/>
          <w:szCs w:val="28"/>
        </w:rPr>
        <w:t>ского автономного округа</w:t>
      </w:r>
      <w:r w:rsidR="008A345F">
        <w:rPr>
          <w:rFonts w:ascii="Times New Roman" w:hAnsi="Times New Roman"/>
          <w:sz w:val="28"/>
          <w:szCs w:val="28"/>
        </w:rPr>
        <w:t>»</w:t>
      </w:r>
      <w:r w:rsidR="00815DF2" w:rsidRPr="004039C7">
        <w:rPr>
          <w:rFonts w:ascii="Times New Roman" w:hAnsi="Times New Roman"/>
          <w:sz w:val="28"/>
          <w:szCs w:val="28"/>
        </w:rPr>
        <w:t>.</w:t>
      </w:r>
    </w:p>
    <w:p w:rsidR="008B2FA3" w:rsidRPr="004039C7" w:rsidRDefault="008B2FA3" w:rsidP="006F6DAC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Законами об окружном бюджете на 2014-2017 годы утверждены бюджетные ассигнования на реализацию мероприятия Подпрограммы в объеме 997 590,4 тыс. рублей.</w:t>
      </w:r>
      <w:r w:rsidR="007B4BB6">
        <w:rPr>
          <w:rFonts w:ascii="Times New Roman" w:hAnsi="Times New Roman" w:cs="Times New Roman"/>
          <w:sz w:val="28"/>
          <w:szCs w:val="28"/>
        </w:rPr>
        <w:t xml:space="preserve"> </w:t>
      </w:r>
      <w:r w:rsidR="00815DF2" w:rsidRPr="004039C7">
        <w:rPr>
          <w:rFonts w:ascii="Times New Roman" w:hAnsi="Times New Roman"/>
          <w:sz w:val="28"/>
          <w:szCs w:val="28"/>
        </w:rPr>
        <w:t>В 2014 - 2017 годах</w:t>
      </w:r>
      <w:r w:rsidRPr="004039C7">
        <w:rPr>
          <w:rFonts w:ascii="Times New Roman" w:hAnsi="Times New Roman"/>
          <w:sz w:val="28"/>
          <w:szCs w:val="28"/>
        </w:rPr>
        <w:t xml:space="preserve"> исполнение основного мероприятия Подпрограммы составило 952 944,6 тыс. рублей, или 95,5 % от утвержденных ассигнований.</w:t>
      </w:r>
      <w:r w:rsidR="007B4BB6">
        <w:rPr>
          <w:rFonts w:ascii="Times New Roman" w:hAnsi="Times New Roman"/>
          <w:sz w:val="28"/>
          <w:szCs w:val="28"/>
        </w:rPr>
        <w:t xml:space="preserve"> </w:t>
      </w:r>
      <w:r w:rsidRPr="004039C7">
        <w:rPr>
          <w:rFonts w:ascii="Times New Roman" w:hAnsi="Times New Roman"/>
          <w:sz w:val="28"/>
          <w:szCs w:val="28"/>
        </w:rPr>
        <w:t xml:space="preserve">Причинами низкого исполнения основного программного мероприятия в 2014 году – 117 356,9 тыс. рублей или 77,5% </w:t>
      </w:r>
      <w:r w:rsidRPr="004039C7">
        <w:rPr>
          <w:rFonts w:ascii="Times New Roman" w:hAnsi="Times New Roman"/>
          <w:sz w:val="28"/>
          <w:szCs w:val="28"/>
        </w:rPr>
        <w:lastRenderedPageBreak/>
        <w:t>являлось отсутствие средств в окружном бюджете, а также неисполнение обязательств подрядчиком, в связи с поздней поставкой на объект техники, оборудования и материалов, необходимых для проведения работ.</w:t>
      </w:r>
    </w:p>
    <w:p w:rsidR="008B2FA3" w:rsidRPr="004039C7" w:rsidRDefault="008B2FA3" w:rsidP="006F6DAC">
      <w:pPr>
        <w:spacing w:after="0"/>
        <w:ind w:right="27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ab/>
        <w:t>Фактическое выполнение работ за 2015-2016 годы составило 728 737,8 тыс. рублей или 99,7% от утвержденных ассигнований.</w:t>
      </w:r>
      <w:r w:rsidRPr="004039C7">
        <w:rPr>
          <w:rFonts w:ascii="Times New Roman" w:hAnsi="Times New Roman"/>
          <w:sz w:val="28"/>
          <w:szCs w:val="28"/>
        </w:rPr>
        <w:tab/>
        <w:t xml:space="preserve">В </w:t>
      </w:r>
      <w:r w:rsidR="00815DF2" w:rsidRPr="004039C7">
        <w:rPr>
          <w:rFonts w:ascii="Times New Roman" w:hAnsi="Times New Roman"/>
          <w:sz w:val="28"/>
          <w:szCs w:val="28"/>
        </w:rPr>
        <w:t xml:space="preserve">2017 году </w:t>
      </w:r>
      <w:r w:rsidRPr="004039C7">
        <w:rPr>
          <w:rFonts w:ascii="Times New Roman" w:hAnsi="Times New Roman"/>
          <w:sz w:val="28"/>
          <w:szCs w:val="28"/>
        </w:rPr>
        <w:t xml:space="preserve"> работ</w:t>
      </w:r>
      <w:r w:rsidR="00815DF2" w:rsidRPr="004039C7">
        <w:rPr>
          <w:rFonts w:ascii="Times New Roman" w:hAnsi="Times New Roman"/>
          <w:sz w:val="28"/>
          <w:szCs w:val="28"/>
        </w:rPr>
        <w:t xml:space="preserve">ы выполнены на сумму </w:t>
      </w:r>
      <w:r w:rsidRPr="004039C7">
        <w:rPr>
          <w:rFonts w:ascii="Times New Roman" w:hAnsi="Times New Roman"/>
          <w:color w:val="000000"/>
          <w:sz w:val="28"/>
          <w:szCs w:val="28"/>
        </w:rPr>
        <w:t>106 849,9 тыс. рублей или 91,7</w:t>
      </w:r>
      <w:r w:rsidR="00815DF2" w:rsidRPr="004039C7">
        <w:rPr>
          <w:rFonts w:ascii="Times New Roman" w:hAnsi="Times New Roman"/>
          <w:color w:val="000000"/>
          <w:sz w:val="28"/>
          <w:szCs w:val="28"/>
        </w:rPr>
        <w:t xml:space="preserve"> % от утвержденных ассигнований. П</w:t>
      </w:r>
      <w:r w:rsidRPr="004039C7">
        <w:rPr>
          <w:rFonts w:ascii="Times New Roman" w:hAnsi="Times New Roman"/>
          <w:color w:val="000000"/>
          <w:sz w:val="28"/>
          <w:szCs w:val="28"/>
        </w:rPr>
        <w:t>ричинами отклонения явилась экономия средств заказчика на непредвиденные расходы и затраты, образованная в связи с отсутствием потребности в дополнительных работах.</w:t>
      </w:r>
    </w:p>
    <w:p w:rsidR="008B2FA3" w:rsidRPr="004039C7" w:rsidRDefault="008B2FA3" w:rsidP="006F6D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ab/>
      </w:r>
      <w:r w:rsidRPr="004039C7">
        <w:rPr>
          <w:rFonts w:ascii="Times New Roman" w:hAnsi="Times New Roman"/>
          <w:bCs/>
          <w:sz w:val="28"/>
          <w:szCs w:val="28"/>
        </w:rPr>
        <w:t xml:space="preserve"> Законченный реконструкцией участок автодороги, протяженностью 18,4 километра,  принят в эксплуатацию</w:t>
      </w:r>
      <w:r w:rsidRPr="004039C7">
        <w:rPr>
          <w:rFonts w:ascii="Times New Roman" w:hAnsi="Times New Roman"/>
          <w:sz w:val="28"/>
          <w:szCs w:val="28"/>
        </w:rPr>
        <w:t xml:space="preserve"> 15 ноября 2017 года. Балансовая стоимость принятого в эксплуатацию участка автодороги и сооружений на нем  составила 971 967,3 тыс. рублей,</w:t>
      </w:r>
      <w:r w:rsidR="00815DF2" w:rsidRPr="004039C7">
        <w:rPr>
          <w:rFonts w:ascii="Times New Roman" w:hAnsi="Times New Roman"/>
          <w:sz w:val="28"/>
          <w:szCs w:val="28"/>
        </w:rPr>
        <w:t xml:space="preserve"> при  себестоимости</w:t>
      </w:r>
      <w:r w:rsidRPr="004039C7">
        <w:rPr>
          <w:rFonts w:ascii="Times New Roman" w:hAnsi="Times New Roman"/>
          <w:sz w:val="28"/>
          <w:szCs w:val="28"/>
        </w:rPr>
        <w:t xml:space="preserve"> реконструкции 1 киломе</w:t>
      </w:r>
      <w:r w:rsidR="00815DF2" w:rsidRPr="004039C7">
        <w:rPr>
          <w:rFonts w:ascii="Times New Roman" w:hAnsi="Times New Roman"/>
          <w:sz w:val="28"/>
          <w:szCs w:val="28"/>
        </w:rPr>
        <w:t xml:space="preserve">тра участка автодороги  </w:t>
      </w:r>
      <w:r w:rsidRPr="004039C7">
        <w:rPr>
          <w:rFonts w:ascii="Times New Roman" w:hAnsi="Times New Roman"/>
          <w:sz w:val="28"/>
          <w:szCs w:val="28"/>
        </w:rPr>
        <w:t xml:space="preserve"> 52 824,3 тыс. рублей.</w:t>
      </w:r>
    </w:p>
    <w:p w:rsidR="008B2FA3" w:rsidRPr="004039C7" w:rsidRDefault="008B2FA3" w:rsidP="006F6DAC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>Законченный реконструкцией участок автодороги зарегистрирован в Управлении Федеральной службы государственной регистрации, кадастра и картографии по Магаданской области и Чукотскому автономному округу                21 марта 2018 года.</w:t>
      </w:r>
    </w:p>
    <w:p w:rsidR="008B2FA3" w:rsidRPr="004039C7" w:rsidRDefault="008B2FA3" w:rsidP="006F6DAC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 xml:space="preserve">Целевой показатель реализации мероприятия </w:t>
      </w:r>
      <w:r w:rsidRPr="004039C7">
        <w:rPr>
          <w:rFonts w:ascii="Times New Roman" w:eastAsia="Calibri" w:hAnsi="Times New Roman"/>
          <w:sz w:val="28"/>
          <w:szCs w:val="28"/>
        </w:rPr>
        <w:t>Подпрограммы</w:t>
      </w:r>
      <w:r w:rsidRPr="004039C7">
        <w:rPr>
          <w:rStyle w:val="FontStyle31"/>
          <w:sz w:val="28"/>
          <w:szCs w:val="28"/>
        </w:rPr>
        <w:t xml:space="preserve">, установленный на 2014-2017 гг., </w:t>
      </w:r>
      <w:r w:rsidRPr="004039C7">
        <w:rPr>
          <w:rFonts w:ascii="Times New Roman" w:hAnsi="Times New Roman"/>
          <w:sz w:val="28"/>
          <w:szCs w:val="28"/>
        </w:rPr>
        <w:t xml:space="preserve">достигнут в полном объеме. </w:t>
      </w:r>
    </w:p>
    <w:p w:rsidR="00D15A70" w:rsidRPr="004039C7" w:rsidRDefault="00D15A70" w:rsidP="006F6DAC">
      <w:pPr>
        <w:pStyle w:val="a3"/>
        <w:ind w:left="8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FA3" w:rsidRPr="004039C7" w:rsidRDefault="00A0263B" w:rsidP="006F6DAC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 xml:space="preserve">Меры, принятые по результатам </w:t>
      </w:r>
      <w:r w:rsidR="00D97F98" w:rsidRPr="004039C7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</w:t>
      </w:r>
      <w:r w:rsidR="005601A5" w:rsidRPr="004039C7">
        <w:rPr>
          <w:rFonts w:ascii="Times New Roman" w:hAnsi="Times New Roman" w:cs="Times New Roman"/>
          <w:b/>
          <w:sz w:val="28"/>
          <w:szCs w:val="28"/>
        </w:rPr>
        <w:t xml:space="preserve">, проведенных Счетной палатой </w:t>
      </w:r>
      <w:r w:rsidR="00964D9F" w:rsidRPr="004039C7">
        <w:rPr>
          <w:rFonts w:ascii="Times New Roman" w:hAnsi="Times New Roman" w:cs="Times New Roman"/>
          <w:b/>
          <w:sz w:val="28"/>
          <w:szCs w:val="28"/>
        </w:rPr>
        <w:t xml:space="preserve"> во втором квартале текущего года</w:t>
      </w:r>
    </w:p>
    <w:p w:rsidR="00964D9F" w:rsidRPr="004039C7" w:rsidRDefault="00D97F98" w:rsidP="006F6DAC">
      <w:pPr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   Прокуратурой округа рассмотрена информация Счетной палаты о несоответствии бюджетному законодательству нормативных правовых актов   о порядке предоставления субсидий  юридическим лицам на обеспечение населения социально значимыми продовольственными товарами. По результатам проверки, прокурорами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Билибинского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и Чаунского районов 7 августа т.г. принесено 2 протеста. Одновременно в протесте прокурора Чаунского района указано на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фактор.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Анадырским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межрайонным прокурором и прокурором Иультинского района принесен 1 протест и внесено 1 представление. Администрациями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районов и городских округов пр</w:t>
      </w:r>
      <w:r w:rsidR="00C01680" w:rsidRPr="004039C7">
        <w:rPr>
          <w:rFonts w:ascii="Times New Roman" w:hAnsi="Times New Roman" w:cs="Times New Roman"/>
          <w:sz w:val="28"/>
          <w:szCs w:val="28"/>
        </w:rPr>
        <w:t>отесты прокуроров удовлетворены. П</w:t>
      </w:r>
      <w:r w:rsidRPr="004039C7">
        <w:rPr>
          <w:rFonts w:ascii="Times New Roman" w:hAnsi="Times New Roman" w:cs="Times New Roman"/>
          <w:sz w:val="28"/>
          <w:szCs w:val="28"/>
        </w:rPr>
        <w:t>равовые акты органов местного самоуправления приведены в соответствие с действующим законодательством.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 Информации также получены от органов местного самоуправления.</w:t>
      </w:r>
    </w:p>
    <w:p w:rsidR="00C01680" w:rsidRPr="004039C7" w:rsidRDefault="000C6B6B" w:rsidP="007B4B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ab/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В отчетном периоде сн</w:t>
      </w:r>
      <w:r w:rsidR="00C01680" w:rsidRPr="004039C7">
        <w:rPr>
          <w:rFonts w:ascii="Times New Roman" w:hAnsi="Times New Roman" w:cs="Times New Roman"/>
          <w:sz w:val="28"/>
          <w:szCs w:val="28"/>
        </w:rPr>
        <w:t>ято с контроля  п</w:t>
      </w:r>
      <w:r w:rsidRPr="004039C7">
        <w:rPr>
          <w:rFonts w:ascii="Times New Roman" w:hAnsi="Times New Roman" w:cs="Times New Roman"/>
          <w:sz w:val="28"/>
          <w:szCs w:val="28"/>
        </w:rPr>
        <w:t>редставление Счет</w:t>
      </w:r>
      <w:r w:rsidR="005B0AFB" w:rsidRPr="004039C7">
        <w:rPr>
          <w:rFonts w:ascii="Times New Roman" w:hAnsi="Times New Roman" w:cs="Times New Roman"/>
          <w:sz w:val="28"/>
          <w:szCs w:val="28"/>
        </w:rPr>
        <w:t>ной палаты,</w:t>
      </w:r>
      <w:r w:rsidR="007B4BB6">
        <w:rPr>
          <w:rFonts w:ascii="Times New Roman" w:hAnsi="Times New Roman" w:cs="Times New Roman"/>
          <w:sz w:val="28"/>
          <w:szCs w:val="28"/>
        </w:rPr>
        <w:t xml:space="preserve"> </w:t>
      </w:r>
      <w:r w:rsidR="00C01680" w:rsidRPr="004039C7">
        <w:rPr>
          <w:rFonts w:ascii="Times New Roman" w:hAnsi="Times New Roman" w:cs="Times New Roman"/>
          <w:sz w:val="28"/>
          <w:szCs w:val="28"/>
        </w:rPr>
        <w:t xml:space="preserve">по  итогам </w:t>
      </w:r>
      <w:r w:rsidR="00C01680" w:rsidRPr="004039C7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законности и результативности использования средств 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окружного бюджета и иных источников на реализацию Государственной программы «Развитие образования, культуры, спорта, туризма и молодежной политики Чукотского автономного округа на 2016-2020 годы»</w:t>
      </w:r>
      <w:r w:rsidR="00C01680"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«Обеспечение государственных гарантий и развитие современной инфраструктуры образования, спорта и туризма» мероприятия «Субсидии на обустройство имущественного комплекса горнолыжного назначения</w:t>
      </w:r>
      <w:proofErr w:type="gramEnd"/>
      <w:r w:rsidRPr="004039C7">
        <w:rPr>
          <w:rFonts w:ascii="Times New Roman" w:hAnsi="Times New Roman" w:cs="Times New Roman"/>
          <w:color w:val="000000"/>
          <w:sz w:val="28"/>
          <w:szCs w:val="28"/>
        </w:rPr>
        <w:t>» за 2017 год и истекший период 2018 года</w:t>
      </w:r>
      <w:r w:rsidRPr="00403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9C7" w:rsidRPr="004039C7" w:rsidRDefault="000C6B6B" w:rsidP="007B4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Согласно представленной</w:t>
      </w:r>
      <w:r w:rsidR="00C01680" w:rsidRPr="004039C7">
        <w:rPr>
          <w:rFonts w:ascii="Times New Roman" w:hAnsi="Times New Roman" w:cs="Times New Roman"/>
          <w:sz w:val="28"/>
          <w:szCs w:val="28"/>
        </w:rPr>
        <w:t xml:space="preserve"> Муниципальным автономным учреждением  «Дворец детского и юношеского творчества городского округа Анадырь» (дале</w:t>
      </w:r>
      <w:proofErr w:type="gramStart"/>
      <w:r w:rsidR="00C01680" w:rsidRPr="004039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01680" w:rsidRPr="004039C7">
        <w:rPr>
          <w:rFonts w:ascii="Times New Roman" w:hAnsi="Times New Roman" w:cs="Times New Roman"/>
          <w:sz w:val="28"/>
          <w:szCs w:val="28"/>
        </w:rPr>
        <w:t xml:space="preserve"> Учреждение)  информации: </w:t>
      </w:r>
    </w:p>
    <w:p w:rsidR="000C6B6B" w:rsidRPr="004039C7" w:rsidRDefault="000C6B6B" w:rsidP="007B4B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- Управлением финансов, экономики и имущественных отношений Администрации городского округа Анадырь в настоящее время проводится процедура кадастрового учета объектов недвижимого имущества: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Котельная-кунг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(дымовая труба) и Расходный склад ГСМ, для последующей регистрации Учреждением </w:t>
      </w:r>
      <w:r w:rsidR="00DD70B2" w:rsidRPr="004039C7">
        <w:rPr>
          <w:rFonts w:ascii="Times New Roman" w:hAnsi="Times New Roman" w:cs="Times New Roman"/>
          <w:sz w:val="28"/>
          <w:szCs w:val="28"/>
        </w:rPr>
        <w:t>права опер</w:t>
      </w:r>
      <w:r w:rsidR="00D27652">
        <w:rPr>
          <w:rFonts w:ascii="Times New Roman" w:hAnsi="Times New Roman" w:cs="Times New Roman"/>
          <w:sz w:val="28"/>
          <w:szCs w:val="28"/>
        </w:rPr>
        <w:t>ативного управления имуществом</w:t>
      </w:r>
      <w:r w:rsidRPr="004039C7">
        <w:rPr>
          <w:rFonts w:ascii="Times New Roman" w:hAnsi="Times New Roman" w:cs="Times New Roman"/>
          <w:sz w:val="28"/>
          <w:szCs w:val="28"/>
        </w:rPr>
        <w:t>;</w:t>
      </w:r>
    </w:p>
    <w:p w:rsidR="000C6B6B" w:rsidRPr="004039C7" w:rsidRDefault="000C6B6B" w:rsidP="007B4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выполнены и фактически подтверждены работы по ремонту крыльца здания общежития на сумму 0,0</w:t>
      </w:r>
      <w:r w:rsidRPr="004039C7">
        <w:rPr>
          <w:rFonts w:ascii="Times New Roman" w:hAnsi="Times New Roman" w:cs="Times New Roman"/>
          <w:bCs/>
          <w:sz w:val="28"/>
          <w:szCs w:val="28"/>
        </w:rPr>
        <w:t>19 млн</w:t>
      </w:r>
      <w:r w:rsidRPr="004039C7">
        <w:rPr>
          <w:rFonts w:ascii="Times New Roman" w:hAnsi="Times New Roman" w:cs="Times New Roman"/>
          <w:sz w:val="28"/>
          <w:szCs w:val="28"/>
        </w:rPr>
        <w:t>. рублей;</w:t>
      </w:r>
    </w:p>
    <w:p w:rsidR="000C6B6B" w:rsidRPr="004039C7" w:rsidRDefault="000C6B6B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</w:t>
      </w:r>
      <w:r w:rsidR="00DD70B2" w:rsidRPr="004039C7">
        <w:rPr>
          <w:rFonts w:ascii="Times New Roman" w:hAnsi="Times New Roman" w:cs="Times New Roman"/>
          <w:sz w:val="28"/>
          <w:szCs w:val="28"/>
        </w:rPr>
        <w:t>на баланс Учреждения поставлены</w:t>
      </w:r>
      <w:r w:rsidRPr="004039C7">
        <w:rPr>
          <w:rFonts w:ascii="Times New Roman" w:hAnsi="Times New Roman" w:cs="Times New Roman"/>
          <w:sz w:val="28"/>
          <w:szCs w:val="28"/>
        </w:rPr>
        <w:t xml:space="preserve"> модульное помещение (блок-контейнер) оператора буксировочн</w:t>
      </w:r>
      <w:r w:rsidR="00DD70B2" w:rsidRPr="004039C7">
        <w:rPr>
          <w:rFonts w:ascii="Times New Roman" w:hAnsi="Times New Roman" w:cs="Times New Roman"/>
          <w:sz w:val="28"/>
          <w:szCs w:val="28"/>
        </w:rPr>
        <w:t>ой канатной дороги  и временное жилое сооружение</w:t>
      </w:r>
      <w:r w:rsidRPr="004039C7">
        <w:rPr>
          <w:rFonts w:ascii="Times New Roman" w:hAnsi="Times New Roman" w:cs="Times New Roman"/>
          <w:sz w:val="28"/>
          <w:szCs w:val="28"/>
        </w:rPr>
        <w:t xml:space="preserve"> (вагон-дом «КЕДР»).</w:t>
      </w:r>
    </w:p>
    <w:p w:rsidR="000C6B6B" w:rsidRPr="004039C7" w:rsidRDefault="00675231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В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 отчетном период</w:t>
      </w:r>
      <w:r w:rsidRPr="004039C7">
        <w:rPr>
          <w:rFonts w:ascii="Times New Roman" w:hAnsi="Times New Roman" w:cs="Times New Roman"/>
          <w:sz w:val="28"/>
          <w:szCs w:val="28"/>
        </w:rPr>
        <w:t>е снято с контроля п</w:t>
      </w:r>
      <w:r w:rsidR="000C6B6B" w:rsidRPr="004039C7">
        <w:rPr>
          <w:rFonts w:ascii="Times New Roman" w:hAnsi="Times New Roman" w:cs="Times New Roman"/>
          <w:sz w:val="28"/>
          <w:szCs w:val="28"/>
        </w:rPr>
        <w:t>редставление С</w:t>
      </w:r>
      <w:r w:rsidR="005B0AFB" w:rsidRPr="004039C7">
        <w:rPr>
          <w:rFonts w:ascii="Times New Roman" w:hAnsi="Times New Roman" w:cs="Times New Roman"/>
          <w:sz w:val="28"/>
          <w:szCs w:val="28"/>
        </w:rPr>
        <w:t>четной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палаты, направленное Департаменту промышленной и сельскохозяйственной политики (далее - Департамент)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 по итогам проверки законности и результативности использования средств окружного бюджета и иных источников на реализацию Государственной программы Чукотского автономного округа «Развитие транспортной инфраструктуры Чукотского автономного округа на 2014-2022 годы</w:t>
      </w:r>
      <w:proofErr w:type="gramStart"/>
      <w:r w:rsidR="000C6B6B" w:rsidRPr="004039C7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="000C6B6B" w:rsidRPr="004039C7">
        <w:rPr>
          <w:rFonts w:ascii="Times New Roman" w:hAnsi="Times New Roman" w:cs="Times New Roman"/>
          <w:sz w:val="28"/>
          <w:szCs w:val="28"/>
        </w:rPr>
        <w:t>одпрограммы «Развитие авиационно</w:t>
      </w:r>
      <w:r w:rsidRPr="004039C7">
        <w:rPr>
          <w:rFonts w:ascii="Times New Roman" w:hAnsi="Times New Roman" w:cs="Times New Roman"/>
          <w:sz w:val="28"/>
          <w:szCs w:val="28"/>
        </w:rPr>
        <w:t>го комплекса» за 2016-2017 годы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.  </w:t>
      </w:r>
      <w:r w:rsidRPr="004039C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 подтверждены фактические расходы в сумме 11,98 млн</w:t>
      </w:r>
      <w:proofErr w:type="gramStart"/>
      <w:r w:rsidR="000C6B6B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6B6B" w:rsidRPr="004039C7">
        <w:rPr>
          <w:rFonts w:ascii="Times New Roman" w:hAnsi="Times New Roman" w:cs="Times New Roman"/>
          <w:sz w:val="28"/>
          <w:szCs w:val="28"/>
        </w:rPr>
        <w:t>ублей на ремонтно-восстановительные работы на объекте «Ангар» и представлены копии договоров на выполнение проектно-изыскательских работ за счет  чистой прибыли</w:t>
      </w:r>
      <w:r w:rsidR="00EA2E4E">
        <w:rPr>
          <w:rFonts w:ascii="Times New Roman" w:hAnsi="Times New Roman" w:cs="Times New Roman"/>
          <w:sz w:val="28"/>
          <w:szCs w:val="28"/>
        </w:rPr>
        <w:t xml:space="preserve"> ГП «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B6B" w:rsidRPr="004039C7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EA2E4E">
        <w:rPr>
          <w:rFonts w:ascii="Times New Roman" w:hAnsi="Times New Roman" w:cs="Times New Roman"/>
          <w:sz w:val="28"/>
          <w:szCs w:val="28"/>
        </w:rPr>
        <w:t>»</w:t>
      </w:r>
      <w:r w:rsidR="000C6B6B" w:rsidRPr="004039C7">
        <w:rPr>
          <w:rFonts w:ascii="Times New Roman" w:hAnsi="Times New Roman" w:cs="Times New Roman"/>
          <w:sz w:val="28"/>
          <w:szCs w:val="28"/>
        </w:rPr>
        <w:t xml:space="preserve"> по итогам 2016 года в объеме  30,12 млн.рублей.</w:t>
      </w:r>
    </w:p>
    <w:p w:rsidR="00DD70B2" w:rsidRPr="004039C7" w:rsidRDefault="00DD70B2" w:rsidP="006F6DAC">
      <w:pPr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    По результатам исполнения представления Счетной палаты, Государственным бюджетным учреждением Чукотского автономного округа «Окружное управление ветеринарии» установлено виновное лицо, нарушившее требования Федерального закона от 5 апреля 2013 года № 44-ФЗ «О контрактной системе в сфере закупок товаров, работ услуг для обеспечения государственных и муниципальных нужд», в отношении которого применено дисциплинарное взыскание.</w:t>
      </w:r>
    </w:p>
    <w:p w:rsidR="00602CBA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B0AFB" w:rsidRPr="004039C7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экспертно-аналитических мероприятий</w:t>
      </w:r>
    </w:p>
    <w:p w:rsidR="00602CBA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CBA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экспертно-аналитической работы проведена </w:t>
      </w:r>
      <w:r w:rsidRPr="004039C7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4039C7">
        <w:rPr>
          <w:rFonts w:ascii="Times New Roman" w:hAnsi="Times New Roman" w:cs="Times New Roman"/>
          <w:b/>
          <w:sz w:val="28"/>
          <w:szCs w:val="28"/>
        </w:rPr>
        <w:t>результативности использования средств бюджета Чукотского территориального фонда обязательного медицинского</w:t>
      </w:r>
      <w:proofErr w:type="gramEnd"/>
      <w:r w:rsidRPr="004039C7">
        <w:rPr>
          <w:rFonts w:ascii="Times New Roman" w:hAnsi="Times New Roman" w:cs="Times New Roman"/>
          <w:b/>
          <w:sz w:val="28"/>
          <w:szCs w:val="28"/>
        </w:rPr>
        <w:t xml:space="preserve"> страхования, в части своевременности и полноты расчетов с учреждениями здравоохранения за оказанные медицинские услуги за 2017 год и истекший период 2018 года</w:t>
      </w:r>
      <w:r w:rsidRPr="004039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Мероприятием охвачены 4 объекта – Департамент социальной политики, Чукотский территориальный фонд обязательного медицинского страхования (далее – Фонд), филиал АО «Страховая компания «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СОГАЗ-Мед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» (далее – Страховая организация) и </w:t>
      </w:r>
      <w:r w:rsidR="000A3687" w:rsidRPr="004039C7">
        <w:rPr>
          <w:rFonts w:ascii="Times New Roman" w:hAnsi="Times New Roman" w:cs="Times New Roman"/>
          <w:sz w:val="28"/>
          <w:szCs w:val="28"/>
        </w:rPr>
        <w:t xml:space="preserve">ГБУЗ «Чукотская окружная больница» (далее - </w:t>
      </w:r>
      <w:r w:rsidRPr="004039C7">
        <w:rPr>
          <w:rFonts w:ascii="Times New Roman" w:hAnsi="Times New Roman" w:cs="Times New Roman"/>
          <w:sz w:val="28"/>
          <w:szCs w:val="28"/>
        </w:rPr>
        <w:t>Окружная больница</w:t>
      </w:r>
      <w:r w:rsidR="000A3687" w:rsidRPr="004039C7">
        <w:rPr>
          <w:rFonts w:ascii="Times New Roman" w:hAnsi="Times New Roman" w:cs="Times New Roman"/>
          <w:sz w:val="28"/>
          <w:szCs w:val="28"/>
        </w:rPr>
        <w:t>)</w:t>
      </w:r>
      <w:r w:rsidRPr="004039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2CBA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В медицинские организации округа, участвующие в реализации Территориальной программы ОМС, за оказанные медицинские услуги направлены средства Фонда: в 2017 году – в сумме 2 415,53 млн. рублей,           в </w:t>
      </w:r>
      <w:r w:rsidR="000A3687" w:rsidRPr="004039C7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полугодии 2018 года – 1 099,07 млн. рублей. Расчеты с медицинскими организациями осуществлялись в соответствии с условиями договоров, задолженность Страховой организации перед учреждениями здравоохранения отсутствовала. В то же время, за медицинскими организациями округа числилась просроченная кредиторская задолженность перед пос</w:t>
      </w:r>
      <w:r w:rsidR="000A3687" w:rsidRPr="004039C7">
        <w:rPr>
          <w:rFonts w:ascii="Times New Roman" w:hAnsi="Times New Roman" w:cs="Times New Roman"/>
          <w:sz w:val="28"/>
          <w:szCs w:val="28"/>
        </w:rPr>
        <w:t xml:space="preserve">тавщиками товаров, работ, услуг: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по состоянию на   1 января 2017 года – в сумме 32,27 млн. рублей; на 1 января 2018 года – в сумме 30,97 млн. рублей; на 1 июля 2018 года – в сумме 29,85 млн. рублей (в том числе непосредственно за Окружной больницей – 20,84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ублей, за филиалами – 9,01 млн.рублей). </w:t>
      </w:r>
    </w:p>
    <w:p w:rsidR="00BA1B08" w:rsidRPr="004039C7" w:rsidRDefault="00602CBA" w:rsidP="007B4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 xml:space="preserve">Причинами образования 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просроченной </w:t>
      </w:r>
      <w:r w:rsidRPr="004039C7">
        <w:rPr>
          <w:rFonts w:ascii="Times New Roman" w:hAnsi="Times New Roman" w:cs="Times New Roman"/>
          <w:sz w:val="28"/>
          <w:szCs w:val="28"/>
        </w:rPr>
        <w:t xml:space="preserve">кредиторской задолженности в  рассматриваемом </w:t>
      </w:r>
      <w:r w:rsidR="000A3687" w:rsidRPr="004039C7">
        <w:rPr>
          <w:rFonts w:ascii="Times New Roman" w:hAnsi="Times New Roman" w:cs="Times New Roman"/>
          <w:sz w:val="28"/>
          <w:szCs w:val="28"/>
        </w:rPr>
        <w:t xml:space="preserve">периоде  </w:t>
      </w:r>
      <w:r w:rsidRPr="004039C7">
        <w:rPr>
          <w:rFonts w:ascii="Times New Roman" w:hAnsi="Times New Roman" w:cs="Times New Roman"/>
          <w:sz w:val="28"/>
          <w:szCs w:val="28"/>
        </w:rPr>
        <w:t xml:space="preserve"> являются: невыполнение объемов медицинской помощи, установленных государственным заданием учреждениям здравоохранения (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Провиденская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и Чаунская районные больницы); отсутствие эффективного менеджмента и планирования потребности в медицинских кадрах в учреждениях здравоохранения; перераспределение расходов на оплату труда с других статей, при наличии по данным статьям приняты</w:t>
      </w:r>
      <w:r w:rsidR="000A3687" w:rsidRPr="004039C7">
        <w:rPr>
          <w:rFonts w:ascii="Times New Roman" w:hAnsi="Times New Roman" w:cs="Times New Roman"/>
          <w:sz w:val="28"/>
          <w:szCs w:val="28"/>
        </w:rPr>
        <w:t>х расходных обязательств.</w:t>
      </w:r>
      <w:proofErr w:type="gramEnd"/>
      <w:r w:rsidR="000A3687" w:rsidRPr="004039C7">
        <w:rPr>
          <w:rFonts w:ascii="Times New Roman" w:hAnsi="Times New Roman" w:cs="Times New Roman"/>
          <w:sz w:val="28"/>
          <w:szCs w:val="28"/>
        </w:rPr>
        <w:t xml:space="preserve">  Н</w:t>
      </w:r>
      <w:r w:rsidRPr="004039C7">
        <w:rPr>
          <w:rFonts w:ascii="Times New Roman" w:hAnsi="Times New Roman" w:cs="Times New Roman"/>
          <w:sz w:val="28"/>
          <w:szCs w:val="28"/>
        </w:rPr>
        <w:t xml:space="preserve">а образование просроченной кредиторской задолженности повлияло </w:t>
      </w:r>
      <w:r w:rsidR="000A3687" w:rsidRPr="004039C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предъявление к медицинским организациям санкций, за выявленные Страховой организацией нарушения, в 2017 году – в сумме  </w:t>
      </w:r>
      <w:r w:rsidRPr="004039C7">
        <w:rPr>
          <w:rFonts w:ascii="Times New Roman" w:hAnsi="Times New Roman" w:cs="Times New Roman"/>
          <w:sz w:val="28"/>
          <w:szCs w:val="28"/>
        </w:rPr>
        <w:t xml:space="preserve">19,54 млн. рублей, в </w:t>
      </w:r>
      <w:r w:rsidRPr="004039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9C7">
        <w:rPr>
          <w:rFonts w:ascii="Times New Roman" w:hAnsi="Times New Roman" w:cs="Times New Roman"/>
          <w:sz w:val="28"/>
          <w:szCs w:val="28"/>
        </w:rPr>
        <w:t xml:space="preserve">-м полугодии 2018 года – в сумме 10,82 млн. рублей. </w:t>
      </w:r>
    </w:p>
    <w:p w:rsidR="00602CBA" w:rsidRPr="004039C7" w:rsidRDefault="006F6DAC" w:rsidP="007B4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>В ходе</w:t>
      </w:r>
      <w:r w:rsidR="000A3687" w:rsidRPr="004039C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установлено</w:t>
      </w:r>
      <w:r w:rsidR="00602CBA" w:rsidRPr="004039C7">
        <w:rPr>
          <w:rFonts w:ascii="Times New Roman" w:hAnsi="Times New Roman" w:cs="Times New Roman"/>
          <w:sz w:val="28"/>
          <w:szCs w:val="28"/>
        </w:rPr>
        <w:t xml:space="preserve">, что реорганизация Окружной больницы в форме присоединения к ней </w:t>
      </w:r>
      <w:proofErr w:type="spellStart"/>
      <w:r w:rsidR="00602CBA" w:rsidRPr="004039C7">
        <w:rPr>
          <w:rFonts w:ascii="Times New Roman" w:hAnsi="Times New Roman" w:cs="Times New Roman"/>
          <w:sz w:val="28"/>
          <w:szCs w:val="28"/>
        </w:rPr>
        <w:lastRenderedPageBreak/>
        <w:t>Провиденской</w:t>
      </w:r>
      <w:proofErr w:type="spellEnd"/>
      <w:r w:rsidR="00602CBA" w:rsidRPr="004039C7">
        <w:rPr>
          <w:rFonts w:ascii="Times New Roman" w:hAnsi="Times New Roman" w:cs="Times New Roman"/>
          <w:sz w:val="28"/>
          <w:szCs w:val="28"/>
        </w:rPr>
        <w:t>, Чаунской и Чукотской районных больниц, проведенная с 1 февраля текущего года на основании Распоряжения Правительства Чукотского автономного округа от 30 октября 2017 года №432-рп, не способствовала повышению эффективности деятельности районных больниц и структурной эффективности здравоохранения округа, что являлось целью реорганизации учреждений здравоохранения.</w:t>
      </w:r>
      <w:proofErr w:type="gramEnd"/>
      <w:r w:rsidR="00602CBA" w:rsidRPr="004039C7">
        <w:rPr>
          <w:rFonts w:ascii="Times New Roman" w:hAnsi="Times New Roman" w:cs="Times New Roman"/>
          <w:sz w:val="28"/>
          <w:szCs w:val="28"/>
        </w:rPr>
        <w:t xml:space="preserve"> На сегодняшний день, оптимизация существующей структуры административно-управленческого персонала, с учетом реорганизации учреждений здравоохранения, не проведена. Реорганизация не привела к сокращению расходов на содержание медицинских организаций, в том числе расходов на оплату труда административно-управленческого персонала районных больниц.</w:t>
      </w:r>
    </w:p>
    <w:p w:rsidR="00602CBA" w:rsidRPr="004039C7" w:rsidRDefault="00602CBA" w:rsidP="006F6DAC">
      <w:pPr>
        <w:autoSpaceDE w:val="0"/>
        <w:autoSpaceDN w:val="0"/>
        <w:adjustRightInd w:val="0"/>
        <w:spacing w:before="24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Счетной палатой направлены рекомендации  Департаменту социальной политики, Фонду, Страховой организации и Окружной больнице, исполнение которых  находится на контроле Счетной палаты.</w:t>
      </w:r>
    </w:p>
    <w:p w:rsidR="00602CBA" w:rsidRPr="004039C7" w:rsidRDefault="00602CBA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6557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039C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039C7">
        <w:rPr>
          <w:rFonts w:ascii="Times New Roman" w:eastAsia="Times New Roman" w:hAnsi="Times New Roman" w:cs="Times New Roman"/>
          <w:sz w:val="28"/>
          <w:szCs w:val="28"/>
        </w:rPr>
        <w:t xml:space="preserve"> квартале текущего года </w:t>
      </w:r>
      <w:r w:rsidRPr="004039C7">
        <w:rPr>
          <w:rFonts w:ascii="Times New Roman" w:hAnsi="Times New Roman" w:cs="Times New Roman"/>
          <w:sz w:val="28"/>
          <w:szCs w:val="28"/>
        </w:rPr>
        <w:t>в рамках совместного экспертно-аналитического мероприятия со Счетной палатой Российской Федерац</w:t>
      </w:r>
      <w:r w:rsidR="00474103" w:rsidRPr="004039C7">
        <w:rPr>
          <w:rFonts w:ascii="Times New Roman" w:hAnsi="Times New Roman" w:cs="Times New Roman"/>
          <w:sz w:val="28"/>
          <w:szCs w:val="28"/>
        </w:rPr>
        <w:t>ии</w:t>
      </w:r>
      <w:r w:rsidRPr="004039C7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Pr="004039C7">
        <w:rPr>
          <w:rFonts w:ascii="Times New Roman" w:hAnsi="Times New Roman" w:cs="Times New Roman"/>
          <w:b/>
          <w:sz w:val="28"/>
          <w:szCs w:val="28"/>
        </w:rPr>
        <w:t xml:space="preserve">оценка  введения ежемесячных выплат гражданам в связи с рождением  (усыновлением) первого и второго ребенка в Чукотском автономном округе за </w:t>
      </w:r>
      <w:r w:rsidR="00BA1B08" w:rsidRPr="004039C7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Pr="004039C7">
        <w:rPr>
          <w:rFonts w:ascii="Times New Roman" w:hAnsi="Times New Roman" w:cs="Times New Roman"/>
          <w:b/>
          <w:sz w:val="28"/>
          <w:szCs w:val="28"/>
        </w:rPr>
        <w:t>полугодие 2018 года</w:t>
      </w:r>
      <w:r w:rsidRPr="004039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CBA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На выполнение полномочий Российской Федерации по осуществлению ежемесячной выплаты в связи с рождением (усыновлением) первого ребенка в 2018 году бюджету Чукотского автономного округа предусмотрены субвенции из федерального бюджета в объеме 17,59 млн. рублей. По состоянию на 1 июля 2018 года из федерального бюджета в окружной бюджет поступили субвенции в сумме 3,24 млн. рублей. В исследуемом периоде размер ежемесячной вып</w:t>
      </w:r>
      <w:r w:rsidR="00F534FA" w:rsidRPr="004039C7">
        <w:rPr>
          <w:rFonts w:ascii="Times New Roman" w:hAnsi="Times New Roman" w:cs="Times New Roman"/>
          <w:sz w:val="28"/>
          <w:szCs w:val="28"/>
        </w:rPr>
        <w:t>латы составил 22,22 тыс. рублей на 1 получателя,</w:t>
      </w:r>
      <w:r w:rsidRPr="004039C7">
        <w:rPr>
          <w:rFonts w:ascii="Times New Roman" w:hAnsi="Times New Roman" w:cs="Times New Roman"/>
          <w:sz w:val="28"/>
          <w:szCs w:val="28"/>
        </w:rPr>
        <w:t xml:space="preserve"> количество получателей – 44 человека. </w:t>
      </w:r>
    </w:p>
    <w:p w:rsidR="00602CBA" w:rsidRPr="004039C7" w:rsidRDefault="00602CBA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>За 6 месяцев 2018 года за назначением ежемесячной выплаты обратилось 50 человек, из которых 6-ти обратившимся было отказано в назначении выплаты в связи с тем, что среднедушевой доход семьи обратившегося за назначением ежемесячной выплаты, превысил 1,5-кратную величину прожиточного минимума трудоспособного населения, установленную в Чукотском автономном округе за второй квартал 2017 года.</w:t>
      </w:r>
      <w:proofErr w:type="gramEnd"/>
    </w:p>
    <w:p w:rsidR="00602CBA" w:rsidRPr="004039C7" w:rsidRDefault="00602CBA" w:rsidP="006F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ab/>
        <w:t xml:space="preserve">В январе-июне 2018 года естественный прирост населения в Чукотском автономном округе составил 40 человек, что на 93 человека меньше, чем в аналогичном периоде 2017 года; число родившихся составило 317 человек, </w:t>
      </w:r>
      <w:r w:rsidRPr="004039C7">
        <w:rPr>
          <w:rFonts w:ascii="Times New Roman" w:hAnsi="Times New Roman" w:cs="Times New Roman"/>
          <w:sz w:val="28"/>
          <w:szCs w:val="28"/>
        </w:rPr>
        <w:lastRenderedPageBreak/>
        <w:t>что на 44 человека меньше, чем родившихся в аналогичном периоде 2017 года.</w:t>
      </w:r>
    </w:p>
    <w:p w:rsidR="00602CBA" w:rsidRPr="004039C7" w:rsidRDefault="00602CBA" w:rsidP="006F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ab/>
        <w:t>Предоставление ежемесячной выплаты в связи с рождением (усыновлением) первого или второго ребенка направлено на стимулирование рождаемости, что в перспективе положительно повлияет на демографическую обстановку в Чукотском автономном округе.</w:t>
      </w:r>
    </w:p>
    <w:p w:rsidR="002C06D0" w:rsidRPr="004039C7" w:rsidRDefault="002C06D0" w:rsidP="006F6DAC">
      <w:pPr>
        <w:pStyle w:val="aa"/>
        <w:spacing w:before="120" w:beforeAutospacing="0" w:after="120" w:afterAutospacing="0" w:line="276" w:lineRule="auto"/>
        <w:ind w:firstLine="709"/>
        <w:jc w:val="both"/>
        <w:rPr>
          <w:b/>
          <w:sz w:val="28"/>
          <w:szCs w:val="28"/>
        </w:rPr>
      </w:pPr>
      <w:r w:rsidRPr="004039C7">
        <w:rPr>
          <w:b/>
          <w:sz w:val="28"/>
          <w:szCs w:val="28"/>
        </w:rPr>
        <w:t>В третьем квартале Счетной палатой проведен  о</w:t>
      </w:r>
      <w:r w:rsidR="00B82A54" w:rsidRPr="004039C7">
        <w:rPr>
          <w:b/>
          <w:sz w:val="28"/>
          <w:szCs w:val="28"/>
        </w:rPr>
        <w:t>перативный контроль исполнения З</w:t>
      </w:r>
      <w:r w:rsidRPr="004039C7">
        <w:rPr>
          <w:b/>
          <w:sz w:val="28"/>
          <w:szCs w:val="28"/>
        </w:rPr>
        <w:t xml:space="preserve">акона Чукотского автономного округа </w:t>
      </w:r>
      <w:r w:rsidR="00B82A54" w:rsidRPr="004039C7">
        <w:rPr>
          <w:b/>
          <w:sz w:val="28"/>
          <w:szCs w:val="28"/>
        </w:rPr>
        <w:t>«О</w:t>
      </w:r>
      <w:r w:rsidRPr="004039C7">
        <w:rPr>
          <w:b/>
          <w:sz w:val="28"/>
          <w:szCs w:val="28"/>
        </w:rPr>
        <w:t>б окружном бюджете</w:t>
      </w:r>
      <w:r w:rsidR="00B82A54" w:rsidRPr="004039C7">
        <w:rPr>
          <w:b/>
          <w:sz w:val="28"/>
          <w:szCs w:val="28"/>
        </w:rPr>
        <w:t xml:space="preserve"> на 2018 год и на плановый период 2019и 2020 годов»,</w:t>
      </w:r>
      <w:r w:rsidR="002E51D5" w:rsidRPr="004039C7">
        <w:rPr>
          <w:b/>
          <w:sz w:val="28"/>
          <w:szCs w:val="28"/>
        </w:rPr>
        <w:t xml:space="preserve"> за первое</w:t>
      </w:r>
      <w:r w:rsidRPr="004039C7">
        <w:rPr>
          <w:b/>
          <w:sz w:val="28"/>
          <w:szCs w:val="28"/>
        </w:rPr>
        <w:t xml:space="preserve"> полугодие 2018 года </w:t>
      </w:r>
    </w:p>
    <w:p w:rsidR="002C06D0" w:rsidRPr="004039C7" w:rsidRDefault="002C06D0" w:rsidP="006F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9C7">
        <w:rPr>
          <w:rFonts w:ascii="Times New Roman" w:hAnsi="Times New Roman"/>
          <w:sz w:val="28"/>
          <w:szCs w:val="28"/>
        </w:rPr>
        <w:t>В Закон Чукотского автономного округа от 28 ноября 2017 года № 87-ОЗ «Об окружном бюджете на 2018 год и плановый период 2019 и 2020 годов» (далее – Закон №87-ОЗ) в отчетном периоде изменения вносились два раза, доходы окружного бюджета утверждены в объеме 32 952 826,0 тыс. рублей, расходы – 33 697 335,3 тыс. рублей.</w:t>
      </w:r>
      <w:proofErr w:type="gramEnd"/>
      <w:r w:rsidRPr="004039C7">
        <w:rPr>
          <w:rFonts w:ascii="Times New Roman" w:hAnsi="Times New Roman"/>
          <w:sz w:val="28"/>
          <w:szCs w:val="28"/>
        </w:rPr>
        <w:t xml:space="preserve"> Бюджет уточнен с дефицитом в сумме 744 509,3 тыс. рублей.</w:t>
      </w:r>
    </w:p>
    <w:p w:rsidR="002C06D0" w:rsidRPr="004039C7" w:rsidRDefault="002C06D0" w:rsidP="006F6DA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Согласно данным отчета Правительства Чукотского автономного округа за 1 полугодие 2018 года:</w:t>
      </w:r>
    </w:p>
    <w:p w:rsidR="002C06D0" w:rsidRPr="004039C7" w:rsidRDefault="002C06D0" w:rsidP="006F6DA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поступление доходов</w:t>
      </w:r>
      <w:r w:rsidR="00F010B8" w:rsidRPr="004039C7">
        <w:rPr>
          <w:rFonts w:ascii="Times New Roman" w:hAnsi="Times New Roman" w:cs="Times New Roman"/>
          <w:sz w:val="28"/>
          <w:szCs w:val="28"/>
        </w:rPr>
        <w:t xml:space="preserve"> окружного</w:t>
      </w:r>
      <w:r w:rsidRPr="004039C7">
        <w:rPr>
          <w:rFonts w:ascii="Times New Roman" w:hAnsi="Times New Roman" w:cs="Times New Roman"/>
          <w:sz w:val="28"/>
          <w:szCs w:val="28"/>
        </w:rPr>
        <w:t xml:space="preserve"> бюджета составило 14 123 607,0 тыс. рублей или 42,9% от утвержденного годового </w:t>
      </w:r>
      <w:r w:rsidR="00F010B8" w:rsidRPr="004039C7">
        <w:rPr>
          <w:rFonts w:ascii="Times New Roman" w:hAnsi="Times New Roman" w:cs="Times New Roman"/>
          <w:sz w:val="28"/>
          <w:szCs w:val="28"/>
        </w:rPr>
        <w:t>объёма доходов</w:t>
      </w:r>
      <w:r w:rsidRPr="004039C7">
        <w:rPr>
          <w:rFonts w:ascii="Times New Roman" w:hAnsi="Times New Roman" w:cs="Times New Roman"/>
          <w:sz w:val="28"/>
          <w:szCs w:val="28"/>
        </w:rPr>
        <w:t>;</w:t>
      </w:r>
    </w:p>
    <w:p w:rsidR="00F010B8" w:rsidRPr="004039C7" w:rsidRDefault="002C06D0" w:rsidP="006F6D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расходы бюджета составили 13 977,597,0 тыс. рублей или 41,5% от утверждённых бюджетных назначений на 2018 год.</w:t>
      </w:r>
      <w:r w:rsidR="007B4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39C7">
        <w:rPr>
          <w:rFonts w:ascii="Times New Roman" w:hAnsi="Times New Roman"/>
          <w:sz w:val="28"/>
          <w:szCs w:val="28"/>
        </w:rPr>
        <w:t>О</w:t>
      </w:r>
      <w:proofErr w:type="gramEnd"/>
      <w:r w:rsidRPr="004039C7">
        <w:rPr>
          <w:rFonts w:ascii="Times New Roman" w:hAnsi="Times New Roman"/>
          <w:sz w:val="28"/>
          <w:szCs w:val="28"/>
        </w:rPr>
        <w:t xml:space="preserve">кружной бюджет за 1 полугодие 2018 года исполнен с </w:t>
      </w:r>
      <w:proofErr w:type="spellStart"/>
      <w:r w:rsidRPr="004039C7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4039C7">
        <w:rPr>
          <w:rFonts w:ascii="Times New Roman" w:hAnsi="Times New Roman"/>
          <w:sz w:val="28"/>
          <w:szCs w:val="28"/>
        </w:rPr>
        <w:t xml:space="preserve"> в размере 146 010,0 тыс. рублей.</w:t>
      </w:r>
    </w:p>
    <w:p w:rsidR="002C06D0" w:rsidRPr="004039C7" w:rsidRDefault="00785FE1" w:rsidP="006F6D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     В рамках экспертно-аналитического мероприятия «Оперативный контроль исполнения Закона Чукотского автономного округа «Об окружном бюджете на 2018 год и на плановый период 2019 и 2020 годов» за </w:t>
      </w:r>
      <w:r w:rsidRPr="004039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9C7">
        <w:rPr>
          <w:rFonts w:ascii="Times New Roman" w:hAnsi="Times New Roman" w:cs="Times New Roman"/>
          <w:sz w:val="28"/>
          <w:szCs w:val="28"/>
        </w:rPr>
        <w:t>-е полугодие 2018 года» проведен:</w:t>
      </w:r>
    </w:p>
    <w:p w:rsidR="002C06D0" w:rsidRPr="004039C7" w:rsidRDefault="002C06D0" w:rsidP="006F6DAC">
      <w:pPr>
        <w:pStyle w:val="aa"/>
        <w:spacing w:before="120" w:beforeAutospacing="0" w:after="120" w:afterAutospacing="0" w:line="276" w:lineRule="auto"/>
        <w:ind w:firstLine="709"/>
        <w:jc w:val="both"/>
        <w:rPr>
          <w:b/>
          <w:sz w:val="28"/>
          <w:szCs w:val="28"/>
        </w:rPr>
      </w:pPr>
      <w:r w:rsidRPr="004039C7">
        <w:rPr>
          <w:b/>
          <w:sz w:val="28"/>
          <w:szCs w:val="28"/>
        </w:rPr>
        <w:t> </w:t>
      </w:r>
      <w:r w:rsidR="00600167">
        <w:rPr>
          <w:b/>
          <w:color w:val="000000"/>
          <w:sz w:val="28"/>
          <w:szCs w:val="28"/>
        </w:rPr>
        <w:t>М</w:t>
      </w:r>
      <w:r w:rsidRPr="004039C7">
        <w:rPr>
          <w:b/>
          <w:color w:val="000000"/>
          <w:sz w:val="28"/>
          <w:szCs w:val="28"/>
        </w:rPr>
        <w:t>ониторинг реализации государственных программ Чукотского автономного округа</w:t>
      </w:r>
      <w:r w:rsidR="002E51D5" w:rsidRPr="004039C7">
        <w:rPr>
          <w:b/>
          <w:sz w:val="28"/>
          <w:szCs w:val="28"/>
        </w:rPr>
        <w:t xml:space="preserve"> за первое</w:t>
      </w:r>
      <w:r w:rsidR="00F010B8" w:rsidRPr="004039C7">
        <w:rPr>
          <w:b/>
          <w:sz w:val="28"/>
          <w:szCs w:val="28"/>
        </w:rPr>
        <w:t xml:space="preserve"> полугодие 2018 года</w:t>
      </w:r>
    </w:p>
    <w:p w:rsidR="002C06D0" w:rsidRPr="004039C7" w:rsidRDefault="002C06D0" w:rsidP="006F6DAC">
      <w:pPr>
        <w:pStyle w:val="1"/>
        <w:spacing w:line="276" w:lineRule="auto"/>
      </w:pPr>
      <w:r w:rsidRPr="004039C7">
        <w:t>На реализацию 16 государственных программ Законом №87-ОЗ утверждены бюджетные ассигнования в объеме 32 561 903,2 тыс. рублей, в том числе:</w:t>
      </w:r>
    </w:p>
    <w:p w:rsidR="002C06D0" w:rsidRPr="004039C7" w:rsidRDefault="002C06D0" w:rsidP="006F6D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9C7">
        <w:rPr>
          <w:rFonts w:ascii="Times New Roman" w:eastAsia="Calibri" w:hAnsi="Times New Roman"/>
          <w:color w:val="000000"/>
          <w:sz w:val="28"/>
          <w:szCs w:val="28"/>
        </w:rPr>
        <w:t>- 10 340 981,3 тыс. рублей – средства федерального бюджета и прочих безвозмездных поступлений</w:t>
      </w:r>
      <w:r w:rsidRPr="004039C7">
        <w:rPr>
          <w:rFonts w:ascii="Times New Roman" w:hAnsi="Times New Roman"/>
          <w:color w:val="000000"/>
          <w:sz w:val="28"/>
          <w:szCs w:val="28"/>
        </w:rPr>
        <w:t>;</w:t>
      </w:r>
    </w:p>
    <w:p w:rsidR="002C06D0" w:rsidRPr="004039C7" w:rsidRDefault="002C06D0" w:rsidP="006F6DAC">
      <w:pPr>
        <w:pStyle w:val="1"/>
        <w:spacing w:line="276" w:lineRule="auto"/>
        <w:rPr>
          <w:color w:val="auto"/>
        </w:rPr>
      </w:pPr>
      <w:r w:rsidRPr="004039C7">
        <w:lastRenderedPageBreak/>
        <w:t>- 22 220 921,9 тыс. рублей – средства окружного бюджета, из них 1 240 780,0 тыс. рублей – на реализацию Территориальной программы обязательного медицинского страхования.</w:t>
      </w:r>
    </w:p>
    <w:p w:rsidR="002C06D0" w:rsidRPr="004039C7" w:rsidRDefault="002C06D0" w:rsidP="006F6DA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9C7">
        <w:rPr>
          <w:rFonts w:ascii="Times New Roman" w:hAnsi="Times New Roman" w:cs="Times New Roman"/>
          <w:color w:val="000000"/>
          <w:sz w:val="28"/>
          <w:szCs w:val="28"/>
        </w:rPr>
        <w:t>В январе-июне 2018 года на реализацию государственных программ за счет всех источников финансирования направлено 14 077 525,9 тыс. рублей или 43,2% от бюджетных ассигнований, в том числе:</w:t>
      </w:r>
    </w:p>
    <w:p w:rsidR="002C06D0" w:rsidRPr="004039C7" w:rsidRDefault="002C06D0" w:rsidP="006F6DA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9C7">
        <w:rPr>
          <w:rFonts w:ascii="Times New Roman" w:hAnsi="Times New Roman" w:cs="Times New Roman"/>
          <w:color w:val="000000"/>
          <w:sz w:val="28"/>
          <w:szCs w:val="28"/>
        </w:rPr>
        <w:t>- 787 584,3 тыс. рублей или 14,2% от утвержденных назначений – средства федерального бюджета;</w:t>
      </w:r>
    </w:p>
    <w:p w:rsidR="002C06D0" w:rsidRPr="004039C7" w:rsidRDefault="002C06D0" w:rsidP="006F6DA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9C7">
        <w:rPr>
          <w:rFonts w:ascii="Times New Roman" w:hAnsi="Times New Roman" w:cs="Times New Roman"/>
          <w:color w:val="000000"/>
          <w:sz w:val="28"/>
          <w:szCs w:val="28"/>
        </w:rPr>
        <w:t>- 10 073 722,8 тыс. рублей или 47,6% от плановых назначений – средства окружного бюджета;</w:t>
      </w:r>
    </w:p>
    <w:p w:rsidR="002C06D0" w:rsidRPr="004039C7" w:rsidRDefault="002C06D0" w:rsidP="006F6DA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9C7">
        <w:rPr>
          <w:rFonts w:ascii="Times New Roman" w:hAnsi="Times New Roman" w:cs="Times New Roman"/>
          <w:color w:val="000000"/>
          <w:sz w:val="28"/>
          <w:szCs w:val="28"/>
        </w:rPr>
        <w:t>- 3 216 218,8 тыс. рублей или 54,7% от предусмотренных плановых назначений – средства государственных внебюджетных фондов, государственных корпораций и прочих внебюджетных источников.</w:t>
      </w:r>
    </w:p>
    <w:p w:rsidR="002C06D0" w:rsidRPr="004039C7" w:rsidRDefault="002C06D0" w:rsidP="006F6DAC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color w:val="000000"/>
          <w:sz w:val="28"/>
          <w:szCs w:val="28"/>
        </w:rPr>
        <w:t>Фактическое исполнение</w:t>
      </w:r>
      <w:r w:rsidR="001661F8"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61F8" w:rsidRPr="004039C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039C7">
        <w:rPr>
          <w:rFonts w:ascii="Times New Roman" w:eastAsia="Calibri" w:hAnsi="Times New Roman" w:cs="Times New Roman"/>
          <w:sz w:val="28"/>
          <w:szCs w:val="28"/>
        </w:rPr>
        <w:t>государственным</w:t>
      </w:r>
      <w:proofErr w:type="spellEnd"/>
      <w:r w:rsidRPr="004039C7">
        <w:rPr>
          <w:rFonts w:ascii="Times New Roman" w:eastAsia="Calibri" w:hAnsi="Times New Roman" w:cs="Times New Roman"/>
          <w:sz w:val="28"/>
          <w:szCs w:val="28"/>
        </w:rPr>
        <w:t xml:space="preserve"> программам за </w:t>
      </w:r>
      <w:r w:rsidRPr="004039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полугодие 2018 года составило </w:t>
      </w:r>
      <w:r w:rsidRPr="004039C7">
        <w:rPr>
          <w:rFonts w:ascii="Times New Roman" w:eastAsia="Calibri" w:hAnsi="Times New Roman" w:cs="Times New Roman"/>
          <w:sz w:val="28"/>
          <w:szCs w:val="28"/>
        </w:rPr>
        <w:t>10 336 263,9 тыс.</w:t>
      </w:r>
      <w:r w:rsidR="00827E71" w:rsidRPr="004039C7">
        <w:rPr>
          <w:rFonts w:ascii="Times New Roman" w:eastAsia="Calibri" w:hAnsi="Times New Roman" w:cs="Times New Roman"/>
          <w:sz w:val="28"/>
          <w:szCs w:val="28"/>
        </w:rPr>
        <w:t xml:space="preserve"> рублей или 31,7%;</w:t>
      </w:r>
    </w:p>
    <w:p w:rsidR="00785FE1" w:rsidRPr="004039C7" w:rsidRDefault="00785FE1" w:rsidP="006F6DAC">
      <w:pPr>
        <w:pStyle w:val="a9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0B8" w:rsidRPr="004039C7" w:rsidRDefault="00F010B8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приоритетных проектов на территории Чукотского </w:t>
      </w:r>
      <w:r w:rsidR="002E51D5" w:rsidRPr="004039C7">
        <w:rPr>
          <w:rFonts w:ascii="Times New Roman" w:hAnsi="Times New Roman" w:cs="Times New Roman"/>
          <w:b/>
          <w:sz w:val="28"/>
          <w:szCs w:val="28"/>
        </w:rPr>
        <w:t>автономного округа за первое</w:t>
      </w:r>
      <w:r w:rsidR="00827E71" w:rsidRPr="004039C7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Pr="004039C7">
        <w:rPr>
          <w:rFonts w:ascii="Times New Roman" w:hAnsi="Times New Roman" w:cs="Times New Roman"/>
          <w:b/>
          <w:sz w:val="28"/>
          <w:szCs w:val="28"/>
        </w:rPr>
        <w:t>2018 года</w:t>
      </w:r>
      <w:r w:rsidRPr="004039C7">
        <w:rPr>
          <w:rFonts w:ascii="Times New Roman" w:hAnsi="Times New Roman" w:cs="Times New Roman"/>
          <w:sz w:val="28"/>
          <w:szCs w:val="28"/>
        </w:rPr>
        <w:t>;</w:t>
      </w:r>
    </w:p>
    <w:p w:rsidR="00F010B8" w:rsidRPr="004039C7" w:rsidRDefault="00F010B8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4039C7">
        <w:rPr>
          <w:rFonts w:ascii="Times New Roman" w:hAnsi="Times New Roman" w:cs="Times New Roman"/>
          <w:b/>
          <w:sz w:val="28"/>
          <w:szCs w:val="28"/>
        </w:rPr>
        <w:t xml:space="preserve">мониторинга реализации приоритетных проектов </w:t>
      </w:r>
      <w:r w:rsidRPr="004039C7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66632C" w:rsidRPr="004039C7" w:rsidRDefault="00F010B8" w:rsidP="006F6DA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Участие Чукотского автономного округа в приоритетных проектах              в 2018 году предусмотрено по двум из одиннадцати основных направлений стратегического развития: «Здравоохранение», «ЖКХ и городская среда».</w:t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Чукотском автономном округе приоритетный проект </w:t>
      </w:r>
      <w:r w:rsidRPr="004039C7">
        <w:rPr>
          <w:rFonts w:ascii="Times New Roman" w:hAnsi="Times New Roman" w:cs="Times New Roman"/>
          <w:b/>
          <w:i/>
          <w:sz w:val="28"/>
          <w:szCs w:val="28"/>
        </w:rPr>
        <w:t>«Формирование комфортной городской среды»</w:t>
      </w:r>
      <w:r w:rsidRPr="004039C7">
        <w:rPr>
          <w:rFonts w:ascii="Times New Roman" w:hAnsi="Times New Roman" w:cs="Times New Roman"/>
          <w:sz w:val="28"/>
          <w:szCs w:val="28"/>
        </w:rPr>
        <w:t xml:space="preserve"> (далее – приоритетный проект) реализуется в рамках Государственной программы Чукотского автономного округа «Формирование комфортной городской среды в Чукотском автономном округе в 2018-2022 годах», утвержденной Постановлением Правительства Чукотского автономного округа от 31 августа 2017 года №333 (далее – Государственная программа). </w:t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Объем финансового обеспечения приоритетного проекта на 2018 год составляет 20,63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ублей,  в том числе средства федерального бюджета –   10,42 млн.рублей, средства окружного бюджета –  10,03 млн.рублей, средства муниципального бюджета – 0,18 млн.рублей (не менее 0,1% от общего объема субсидии).</w:t>
      </w:r>
    </w:p>
    <w:p w:rsidR="00F010B8" w:rsidRPr="004039C7" w:rsidRDefault="00F010B8" w:rsidP="006F6DA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ab/>
        <w:t xml:space="preserve">Субсидии выделены бюджету Чукотского муниципального района в общей сумме 20,45 млн. рублей, в том числе на содействие развитию благоустройства населенных пунктов и формированию современной </w:t>
      </w:r>
      <w:r w:rsidRPr="004039C7">
        <w:rPr>
          <w:rFonts w:ascii="Times New Roman" w:hAnsi="Times New Roman" w:cs="Times New Roman"/>
          <w:sz w:val="28"/>
          <w:szCs w:val="28"/>
        </w:rPr>
        <w:lastRenderedPageBreak/>
        <w:t>городской среды – 18,46 млн. рублей, на поддержку обустройства мест массового отдыха населения – 1,98 млн. рублей.</w:t>
      </w:r>
      <w:r w:rsidRPr="004039C7">
        <w:rPr>
          <w:rFonts w:ascii="Times New Roman" w:hAnsi="Times New Roman" w:cs="Times New Roman"/>
          <w:sz w:val="28"/>
          <w:szCs w:val="28"/>
        </w:rPr>
        <w:tab/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По состоянию на 1 июля 2018 года в рамках реализации приоритетного проекта выполнены следующие мероприятия:</w:t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 Комитетом по градостроительству и архитектуре Департамента промышленности согласованы в установленном порядке сметные расчеты на 8 объектов на общую сумму 20,63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ублей;</w:t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 Администрацией Чукотского муниципального района, путем проведения аукционов, заключены с ООО «ЕРКОН» 7 муниципальных контрактов по 7 объектам на общую сумму 18,56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ублей. По объекту «Работы по обустройству зоны отдыха «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Лоринские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ключи» сметной стоимостью 2,07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 по состоянию на 1 июля 2018 года конкурс не завершен;</w:t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 ООО «ЕРКОН», в соответствии с заключенными муниципальными контрактами, осуществляется доставка строительных материалов.</w:t>
      </w:r>
    </w:p>
    <w:p w:rsidR="00F010B8" w:rsidRPr="004039C7" w:rsidRDefault="007C2A54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Из направления стратегического развития «Здравоохранение», в округе </w:t>
      </w:r>
      <w:r w:rsidR="00F010B8" w:rsidRPr="004039C7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 w:rsidR="00F010B8" w:rsidRPr="004039C7">
        <w:rPr>
          <w:rFonts w:ascii="Times New Roman" w:hAnsi="Times New Roman" w:cs="Times New Roman"/>
          <w:b/>
          <w:i/>
          <w:sz w:val="28"/>
          <w:szCs w:val="28"/>
        </w:rPr>
        <w:t xml:space="preserve"> приоритетный проект «Развитие </w:t>
      </w:r>
      <w:proofErr w:type="spellStart"/>
      <w:r w:rsidR="00F010B8" w:rsidRPr="004039C7">
        <w:rPr>
          <w:rFonts w:ascii="Times New Roman" w:hAnsi="Times New Roman" w:cs="Times New Roman"/>
          <w:b/>
          <w:i/>
          <w:sz w:val="28"/>
          <w:szCs w:val="28"/>
        </w:rPr>
        <w:t>санавиации</w:t>
      </w:r>
      <w:proofErr w:type="spellEnd"/>
      <w:r w:rsidR="00F010B8" w:rsidRPr="004039C7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="00F010B8" w:rsidRPr="004039C7">
        <w:rPr>
          <w:rFonts w:ascii="Times New Roman" w:hAnsi="Times New Roman" w:cs="Times New Roman"/>
          <w:sz w:val="28"/>
          <w:szCs w:val="28"/>
        </w:rPr>
        <w:t xml:space="preserve"> На реализацию мероприятия «Закупка авиационной услуги для оказания медицинской помощи (скорой специализированной медицинской помощи) с применением авиации гражданам, проживающим в труднодоступных районах» в 2018 году планируется направить 189,98 млн</w:t>
      </w:r>
      <w:proofErr w:type="gramStart"/>
      <w:r w:rsidR="00F010B8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10B8" w:rsidRPr="004039C7">
        <w:rPr>
          <w:rFonts w:ascii="Times New Roman" w:hAnsi="Times New Roman" w:cs="Times New Roman"/>
          <w:sz w:val="28"/>
          <w:szCs w:val="28"/>
        </w:rPr>
        <w:t>ублей, при этом за счет средств субсидии из федерального бюджета – 150,72 млн.рублей, за счет средств окружного бюджета – 39,26 млн.рублей. За 6 месяцев 2018 года Окружной больнице перечислена субсидия в сумме 78,50 млн</w:t>
      </w:r>
      <w:proofErr w:type="gramStart"/>
      <w:r w:rsidR="00F010B8"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10B8" w:rsidRPr="004039C7">
        <w:rPr>
          <w:rFonts w:ascii="Times New Roman" w:hAnsi="Times New Roman" w:cs="Times New Roman"/>
          <w:sz w:val="28"/>
          <w:szCs w:val="28"/>
        </w:rPr>
        <w:t>ублей, которая использована в полном объеме. На осн</w:t>
      </w:r>
      <w:r w:rsidR="0066632C" w:rsidRPr="004039C7">
        <w:rPr>
          <w:rFonts w:ascii="Times New Roman" w:hAnsi="Times New Roman" w:cs="Times New Roman"/>
          <w:sz w:val="28"/>
          <w:szCs w:val="28"/>
        </w:rPr>
        <w:t xml:space="preserve">овании </w:t>
      </w:r>
      <w:proofErr w:type="spellStart"/>
      <w:r w:rsidR="0066632C" w:rsidRPr="004039C7">
        <w:rPr>
          <w:rFonts w:ascii="Times New Roman" w:hAnsi="Times New Roman" w:cs="Times New Roman"/>
          <w:sz w:val="28"/>
          <w:szCs w:val="28"/>
        </w:rPr>
        <w:t>госконтракта</w:t>
      </w:r>
      <w:proofErr w:type="spellEnd"/>
      <w:r w:rsidR="0066632C" w:rsidRPr="004039C7">
        <w:rPr>
          <w:rFonts w:ascii="Times New Roman" w:hAnsi="Times New Roman" w:cs="Times New Roman"/>
          <w:sz w:val="28"/>
          <w:szCs w:val="28"/>
        </w:rPr>
        <w:t>,</w:t>
      </w:r>
      <w:r w:rsidR="00F010B8" w:rsidRPr="004039C7">
        <w:rPr>
          <w:rFonts w:ascii="Times New Roman" w:hAnsi="Times New Roman" w:cs="Times New Roman"/>
          <w:sz w:val="28"/>
          <w:szCs w:val="28"/>
        </w:rPr>
        <w:t xml:space="preserve"> заключенного Окружной больницей с</w:t>
      </w:r>
      <w:r w:rsidRPr="004039C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П</w:t>
      </w:r>
      <w:r w:rsidR="001D5AB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F010B8" w:rsidRPr="004039C7">
        <w:rPr>
          <w:rFonts w:ascii="Times New Roman" w:hAnsi="Times New Roman" w:cs="Times New Roman"/>
          <w:sz w:val="28"/>
          <w:szCs w:val="28"/>
        </w:rPr>
        <w:t>ЧукотАВИА</w:t>
      </w:r>
      <w:proofErr w:type="spellEnd"/>
      <w:r w:rsidR="001D5ABE">
        <w:rPr>
          <w:rFonts w:ascii="Times New Roman" w:hAnsi="Times New Roman" w:cs="Times New Roman"/>
          <w:sz w:val="28"/>
          <w:szCs w:val="28"/>
        </w:rPr>
        <w:t>»</w:t>
      </w:r>
      <w:r w:rsidRPr="004039C7">
        <w:rPr>
          <w:rFonts w:ascii="Times New Roman" w:hAnsi="Times New Roman" w:cs="Times New Roman"/>
          <w:sz w:val="28"/>
          <w:szCs w:val="28"/>
        </w:rPr>
        <w:t xml:space="preserve">, </w:t>
      </w:r>
      <w:r w:rsidR="00F010B8" w:rsidRPr="004039C7">
        <w:rPr>
          <w:rFonts w:ascii="Times New Roman" w:hAnsi="Times New Roman" w:cs="Times New Roman"/>
          <w:sz w:val="28"/>
          <w:szCs w:val="28"/>
        </w:rPr>
        <w:t xml:space="preserve"> по состоянию на  1 июля 2018 года предприятием выполнено 209 вылетов (610 полетных часов).  Исполнение показателя результативности мероприятия «доля лиц, госпитализированных по экстренным показаниям в течение первых суток» за 6 месяцев текущего года составило 98,4% от планового значения (83,5%), установленного на 2018 год. </w:t>
      </w:r>
    </w:p>
    <w:p w:rsidR="00F010B8" w:rsidRPr="004039C7" w:rsidRDefault="00F010B8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>При реализации мероприятия приоритетного проекта, условия софинансирования из федерального и регионального бюджетов, предусмотренные соглашением, соблюдены.</w:t>
      </w:r>
      <w:proofErr w:type="gramEnd"/>
    </w:p>
    <w:p w:rsidR="00F010B8" w:rsidRPr="004039C7" w:rsidRDefault="00F010B8" w:rsidP="006F6D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32C" w:rsidRPr="004039C7" w:rsidRDefault="0066632C" w:rsidP="006F6DAC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39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Оперативный контроль исполнения бюджета Чукотского территориального фонда обязательного медицинского страхования за </w:t>
      </w:r>
      <w:r w:rsidR="007C2A54" w:rsidRPr="004039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первое </w:t>
      </w:r>
      <w:r w:rsidRPr="004039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полугодие 2018 года</w:t>
      </w:r>
      <w:r w:rsidR="007B4BB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проведенна</w:t>
      </w:r>
      <w:proofErr w:type="spellEnd"/>
      <w:r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основе бюджетной отчетности об исполнении бюджета Фонда.</w:t>
      </w:r>
    </w:p>
    <w:p w:rsidR="0066632C" w:rsidRPr="004039C7" w:rsidRDefault="0066632C" w:rsidP="006F6DAC">
      <w:pPr>
        <w:pStyle w:val="a6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В бюджет Фонда за январь-июнь 2018 года поступили доходы в сумме 1 193,72 млн</w:t>
      </w:r>
      <w:proofErr w:type="gramStart"/>
      <w:r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ублей или 49,8% от утвержденных годовых б</w:t>
      </w:r>
      <w:r w:rsidR="00296FFE"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юджетных назначений. Исполнение бюджета Фонда по расходам составило 1 184,87 млн.</w:t>
      </w:r>
      <w:r w:rsidR="007B4B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96FFE"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рублей, или 49,2% от годовых бюджетных назначений. Основная доля средств бюджета Фонда – 96,8% или </w:t>
      </w:r>
      <w:r w:rsidR="00296FFE" w:rsidRPr="004039C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1 147,00 млн</w:t>
      </w:r>
      <w:proofErr w:type="gramStart"/>
      <w:r w:rsidR="00296FFE" w:rsidRPr="004039C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.р</w:t>
      </w:r>
      <w:proofErr w:type="gramEnd"/>
      <w:r w:rsidR="00296FFE" w:rsidRPr="004039C7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ублей </w:t>
      </w:r>
      <w:r w:rsidR="00296FFE" w:rsidRPr="004039C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направлена на реализацию Территориальной программы ОМС в рамках базовой и сверх базовой программы ОМС. </w:t>
      </w:r>
    </w:p>
    <w:p w:rsidR="00296FFE" w:rsidRPr="004039C7" w:rsidRDefault="0066632C" w:rsidP="006F6DA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 за отчетный период поступили в объеме 4,96 млн</w:t>
      </w:r>
      <w:proofErr w:type="gramStart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0,4% от общего объема доходов бюджета Фонда. Безвозмездные поступления в структуре доходов бюджета Фонда составили 99,6% или 1 188,75 млн</w:t>
      </w:r>
      <w:proofErr w:type="gramStart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ублей, в том числе: межбюджетные трансферты из окружного бюджета – 367,28 млн. рублей или 48,5% от годовых бюджетных назначений,</w:t>
      </w:r>
      <w:r w:rsidR="007B4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 Федерального фонда</w:t>
      </w:r>
      <w:r w:rsidR="007B4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ОМС</w:t>
      </w:r>
      <w:r w:rsidR="007B4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финансовое обеспечение организации ОМС на территориях субъектов РФ –803,75 млн. рублей или 50% от годовых бюджетных назначений. </w:t>
      </w:r>
      <w:r w:rsidR="00296FFE"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 Фонда исполнен с </w:t>
      </w:r>
      <w:proofErr w:type="spellStart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профицитом</w:t>
      </w:r>
      <w:proofErr w:type="spellEnd"/>
      <w:r w:rsidRPr="00403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 8,85 млн. рублей. </w:t>
      </w:r>
    </w:p>
    <w:p w:rsidR="00296FFE" w:rsidRPr="004039C7" w:rsidRDefault="0066632C" w:rsidP="006F6D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 При проведении экспертно-аналитического мероприятия  </w:t>
      </w:r>
      <w:r w:rsidRPr="004039C7">
        <w:rPr>
          <w:rFonts w:ascii="Times New Roman" w:hAnsi="Times New Roman" w:cs="Times New Roman"/>
          <w:b/>
          <w:sz w:val="28"/>
          <w:szCs w:val="28"/>
        </w:rPr>
        <w:t xml:space="preserve">«Мониторинг реализации майских Указов Президента Российской Федерации 2012 года» </w:t>
      </w:r>
      <w:r w:rsidRPr="004039C7">
        <w:rPr>
          <w:rFonts w:ascii="Times New Roman" w:hAnsi="Times New Roman" w:cs="Times New Roman"/>
          <w:sz w:val="28"/>
          <w:szCs w:val="28"/>
        </w:rPr>
        <w:t xml:space="preserve">за </w:t>
      </w:r>
      <w:r w:rsidR="00296FFE" w:rsidRPr="004039C7">
        <w:rPr>
          <w:rFonts w:ascii="Times New Roman" w:hAnsi="Times New Roman" w:cs="Times New Roman"/>
          <w:sz w:val="28"/>
          <w:szCs w:val="28"/>
        </w:rPr>
        <w:t>первое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полугодие 2018 года установлено следующее</w:t>
      </w:r>
      <w:r w:rsidRPr="004039C7">
        <w:rPr>
          <w:rFonts w:ascii="Times New Roman" w:hAnsi="Times New Roman" w:cs="Times New Roman"/>
          <w:b/>
          <w:sz w:val="28"/>
          <w:szCs w:val="28"/>
        </w:rPr>
        <w:t>.</w:t>
      </w:r>
    </w:p>
    <w:p w:rsidR="0066632C" w:rsidRPr="004039C7" w:rsidRDefault="0066632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Оценка результатов, достигнутых при исполнении майских Указов  Президента по состоянию на  </w:t>
      </w:r>
      <w:r w:rsidRPr="004039C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Pr="004039C7">
        <w:rPr>
          <w:rFonts w:ascii="Times New Roman" w:hAnsi="Times New Roman" w:cs="Times New Roman"/>
          <w:sz w:val="28"/>
          <w:szCs w:val="28"/>
        </w:rPr>
        <w:t xml:space="preserve"> июля 2018 года, проведена на основании данных Федеральной службы государственной статистики. В  анализируемом периоде размер средней заработной платы в Чукотском автономном округе составил 89,72 тыс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ублей, размер с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>редней заработной платы в сфере общего образования в Чукотском автономном округе составил 76,56 тыс.рублей.</w:t>
      </w:r>
    </w:p>
    <w:p w:rsidR="0066632C" w:rsidRPr="004039C7" w:rsidRDefault="0066632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 рассматриваемом периоде не достигнуты следующие целевые показатели:</w:t>
      </w:r>
    </w:p>
    <w:p w:rsidR="0066632C" w:rsidRPr="004039C7" w:rsidRDefault="0066632C" w:rsidP="006F6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отношение средней заработной платы работников учреждений культуры Чукотского автономного округа к средней заработной плате в Чукотском автономном округе составило 98,3% при плановом значении 100,0%;</w:t>
      </w:r>
    </w:p>
    <w:p w:rsidR="0066632C" w:rsidRPr="004039C7" w:rsidRDefault="0066632C" w:rsidP="006F6D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- 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отношение средней заработной платы  педагогических работников дошкольных образовательных учреждений к средней заработной плате в общем образовании в Чукотском автономном округе составило 98,5% при </w:t>
      </w:r>
      <w:r w:rsidRPr="004039C7">
        <w:rPr>
          <w:rFonts w:ascii="Times New Roman" w:hAnsi="Times New Roman" w:cs="Times New Roman"/>
          <w:sz w:val="28"/>
          <w:szCs w:val="28"/>
        </w:rPr>
        <w:t>плановом значении 100,0%.</w:t>
      </w:r>
    </w:p>
    <w:p w:rsidR="0066632C" w:rsidRPr="004039C7" w:rsidRDefault="0066632C" w:rsidP="006F6D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  </w:t>
      </w:r>
      <w:r w:rsidRPr="004039C7">
        <w:rPr>
          <w:rFonts w:ascii="Times New Roman" w:hAnsi="Times New Roman" w:cs="Times New Roman"/>
          <w:sz w:val="28"/>
          <w:szCs w:val="28"/>
        </w:rPr>
        <w:t xml:space="preserve">отношения средней заработной платы работников медицинских организаций, 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преподавателей и мастеров производственного обучения образовательных организаций начального и среднего 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педагогических работников образовательных учреждений общего образования к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средней заработной плате в Чукотском автономном округе в анализируемом периоде достигнуты</w:t>
      </w:r>
      <w:r w:rsidRPr="004039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06D0" w:rsidRPr="004039C7" w:rsidRDefault="00E870C6" w:rsidP="006F6DAC">
      <w:pPr>
        <w:pStyle w:val="aa"/>
        <w:spacing w:before="120" w:beforeAutospacing="0" w:after="12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039C7">
        <w:rPr>
          <w:sz w:val="28"/>
          <w:szCs w:val="28"/>
        </w:rPr>
        <w:t xml:space="preserve">В результате проведения экспертно-аналитического мероприятия </w:t>
      </w:r>
      <w:r w:rsidRPr="004039C7">
        <w:rPr>
          <w:b/>
          <w:sz w:val="28"/>
          <w:szCs w:val="28"/>
        </w:rPr>
        <w:t>«</w:t>
      </w:r>
      <w:r w:rsidR="002C06D0" w:rsidRPr="004039C7">
        <w:rPr>
          <w:sz w:val="28"/>
          <w:szCs w:val="28"/>
        </w:rPr>
        <w:t> </w:t>
      </w:r>
      <w:r w:rsidR="002C06D0" w:rsidRPr="004039C7">
        <w:rPr>
          <w:b/>
          <w:sz w:val="28"/>
          <w:szCs w:val="28"/>
        </w:rPr>
        <w:t>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</w:t>
      </w:r>
      <w:r w:rsidRPr="004039C7">
        <w:rPr>
          <w:b/>
          <w:sz w:val="28"/>
          <w:szCs w:val="28"/>
        </w:rPr>
        <w:t xml:space="preserve">» </w:t>
      </w:r>
      <w:r w:rsidRPr="004039C7">
        <w:rPr>
          <w:sz w:val="28"/>
          <w:szCs w:val="28"/>
        </w:rPr>
        <w:t>установлено, что в</w:t>
      </w:r>
      <w:r w:rsidR="002C06D0" w:rsidRPr="004039C7">
        <w:rPr>
          <w:sz w:val="28"/>
          <w:szCs w:val="28"/>
        </w:rPr>
        <w:t xml:space="preserve"> нарушение пункта 11 правил, утвержденных </w:t>
      </w:r>
      <w:r w:rsidR="002C06D0" w:rsidRPr="004039C7">
        <w:rPr>
          <w:color w:val="000000"/>
          <w:sz w:val="28"/>
          <w:szCs w:val="28"/>
        </w:rPr>
        <w:t xml:space="preserve">Постановлением Правительства Российской Федерации от 29 апреля 2006 года №258 «О субвенциях на осуществление полномочий по первичному воинскому учету на территориях, где отсутствуют военные комиссариаты», </w:t>
      </w:r>
      <w:r w:rsidR="00296FFE" w:rsidRPr="004039C7">
        <w:rPr>
          <w:color w:val="000000"/>
          <w:sz w:val="28"/>
          <w:szCs w:val="28"/>
        </w:rPr>
        <w:t>не принят</w:t>
      </w:r>
      <w:proofErr w:type="gramEnd"/>
      <w:r w:rsidR="00296FFE" w:rsidRPr="004039C7">
        <w:rPr>
          <w:color w:val="000000"/>
          <w:sz w:val="28"/>
          <w:szCs w:val="28"/>
        </w:rPr>
        <w:t xml:space="preserve"> </w:t>
      </w:r>
      <w:r w:rsidR="002C06D0" w:rsidRPr="004039C7">
        <w:rPr>
          <w:sz w:val="28"/>
          <w:szCs w:val="28"/>
        </w:rPr>
        <w:t xml:space="preserve">нормативный правовой акт, определяющий уполномоченный орган исполнительной власти Чукотского автономного округа по </w:t>
      </w:r>
      <w:r w:rsidR="00296FFE" w:rsidRPr="004039C7">
        <w:rPr>
          <w:sz w:val="28"/>
          <w:szCs w:val="28"/>
        </w:rPr>
        <w:t xml:space="preserve"> </w:t>
      </w:r>
      <w:proofErr w:type="gramStart"/>
      <w:r w:rsidR="00296FFE" w:rsidRPr="004039C7">
        <w:rPr>
          <w:sz w:val="28"/>
          <w:szCs w:val="28"/>
        </w:rPr>
        <w:t>контролю за</w:t>
      </w:r>
      <w:proofErr w:type="gramEnd"/>
      <w:r w:rsidR="00296FFE" w:rsidRPr="004039C7">
        <w:rPr>
          <w:sz w:val="28"/>
          <w:szCs w:val="28"/>
        </w:rPr>
        <w:t xml:space="preserve"> расходами</w:t>
      </w:r>
      <w:r w:rsidR="002C06D0" w:rsidRPr="004039C7">
        <w:rPr>
          <w:sz w:val="28"/>
          <w:szCs w:val="28"/>
        </w:rPr>
        <w:t xml:space="preserve"> местных бюджетов, связанных с осуществлением полномочий по первичному воинскому учету на территориях, где отсутствуют военные комиссариаты, источником финансового обеспечения которых являются субвенции из фед</w:t>
      </w:r>
      <w:r w:rsidR="00296FFE" w:rsidRPr="004039C7">
        <w:rPr>
          <w:sz w:val="28"/>
          <w:szCs w:val="28"/>
        </w:rPr>
        <w:t>ерального бюджета.</w:t>
      </w:r>
    </w:p>
    <w:p w:rsidR="002C06D0" w:rsidRPr="004039C7" w:rsidRDefault="00E870C6" w:rsidP="006F6D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039C7">
        <w:rPr>
          <w:rFonts w:ascii="Times New Roman" w:hAnsi="Times New Roman"/>
          <w:sz w:val="28"/>
          <w:szCs w:val="28"/>
        </w:rPr>
        <w:t>Законе</w:t>
      </w:r>
      <w:r w:rsidR="002C06D0" w:rsidRPr="004039C7">
        <w:rPr>
          <w:rFonts w:ascii="Times New Roman" w:hAnsi="Times New Roman"/>
          <w:sz w:val="28"/>
          <w:szCs w:val="28"/>
        </w:rPr>
        <w:t xml:space="preserve"> Чукотского автономного округа от 24 апреля 2009 года №48-ОЗ «О методиках распределения субвенций из окружного бюджета» не предусмотре</w:t>
      </w:r>
      <w:r w:rsidRPr="004039C7">
        <w:rPr>
          <w:rFonts w:ascii="Times New Roman" w:hAnsi="Times New Roman"/>
          <w:sz w:val="28"/>
          <w:szCs w:val="28"/>
        </w:rPr>
        <w:t xml:space="preserve">ны расходы, связанные с </w:t>
      </w:r>
      <w:r w:rsidR="002C06D0" w:rsidRPr="004039C7">
        <w:rPr>
          <w:rFonts w:ascii="Times New Roman" w:hAnsi="Times New Roman"/>
          <w:sz w:val="28"/>
          <w:szCs w:val="28"/>
        </w:rPr>
        <w:t xml:space="preserve"> де</w:t>
      </w:r>
      <w:r w:rsidRPr="004039C7">
        <w:rPr>
          <w:rFonts w:ascii="Times New Roman" w:hAnsi="Times New Roman"/>
          <w:sz w:val="28"/>
          <w:szCs w:val="28"/>
        </w:rPr>
        <w:t>нежной компенсацией</w:t>
      </w:r>
      <w:r w:rsidR="002C06D0" w:rsidRPr="004039C7">
        <w:rPr>
          <w:rFonts w:ascii="Times New Roman" w:hAnsi="Times New Roman"/>
          <w:sz w:val="28"/>
          <w:szCs w:val="28"/>
        </w:rPr>
        <w:t xml:space="preserve"> работникам, осуществляющим первичный воинский учет, прожи</w:t>
      </w:r>
      <w:r w:rsidRPr="004039C7">
        <w:rPr>
          <w:rFonts w:ascii="Times New Roman" w:hAnsi="Times New Roman"/>
          <w:sz w:val="28"/>
          <w:szCs w:val="28"/>
        </w:rPr>
        <w:t xml:space="preserve">вающим в Чукотском автономном округе, </w:t>
      </w:r>
      <w:r w:rsidR="002C06D0" w:rsidRPr="004039C7">
        <w:rPr>
          <w:rFonts w:ascii="Times New Roman" w:hAnsi="Times New Roman"/>
          <w:sz w:val="28"/>
          <w:szCs w:val="28"/>
        </w:rPr>
        <w:t xml:space="preserve"> стоимости про</w:t>
      </w:r>
      <w:r w:rsidRPr="004039C7">
        <w:rPr>
          <w:rFonts w:ascii="Times New Roman" w:hAnsi="Times New Roman"/>
          <w:sz w:val="28"/>
          <w:szCs w:val="28"/>
        </w:rPr>
        <w:t xml:space="preserve">езда и провоза багажа </w:t>
      </w:r>
      <w:r w:rsidR="002C06D0" w:rsidRPr="004039C7">
        <w:rPr>
          <w:rFonts w:ascii="Times New Roman" w:hAnsi="Times New Roman"/>
          <w:sz w:val="28"/>
          <w:szCs w:val="28"/>
        </w:rPr>
        <w:t xml:space="preserve"> к месту использования отпуска и обратно </w:t>
      </w:r>
      <w:r w:rsidRPr="004039C7">
        <w:rPr>
          <w:rFonts w:ascii="Times New Roman" w:hAnsi="Times New Roman"/>
          <w:sz w:val="28"/>
          <w:szCs w:val="28"/>
        </w:rPr>
        <w:t xml:space="preserve"> для членов</w:t>
      </w:r>
      <w:r w:rsidR="002C06D0" w:rsidRPr="004039C7">
        <w:rPr>
          <w:rFonts w:ascii="Times New Roman" w:hAnsi="Times New Roman"/>
          <w:sz w:val="28"/>
          <w:szCs w:val="28"/>
        </w:rPr>
        <w:t xml:space="preserve"> семьи. </w:t>
      </w:r>
    </w:p>
    <w:p w:rsidR="002C06D0" w:rsidRPr="004039C7" w:rsidRDefault="002C06D0" w:rsidP="006F6DA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>В Приказах Департамента фи</w:t>
      </w:r>
      <w:r w:rsidR="00E870C6" w:rsidRPr="004039C7">
        <w:rPr>
          <w:rFonts w:ascii="Times New Roman" w:hAnsi="Times New Roman"/>
          <w:sz w:val="28"/>
          <w:szCs w:val="28"/>
        </w:rPr>
        <w:t>нансов, экономики и имущественных отношений</w:t>
      </w:r>
      <w:r w:rsidRPr="004039C7">
        <w:rPr>
          <w:rFonts w:ascii="Times New Roman" w:hAnsi="Times New Roman"/>
          <w:sz w:val="28"/>
          <w:szCs w:val="28"/>
        </w:rPr>
        <w:t xml:space="preserve"> отсутствует порядок расчета среднего уровня финансовых затрат в год </w:t>
      </w:r>
      <w:r w:rsidR="00B17168" w:rsidRPr="004039C7">
        <w:rPr>
          <w:rFonts w:ascii="Times New Roman" w:hAnsi="Times New Roman"/>
          <w:sz w:val="28"/>
          <w:szCs w:val="28"/>
        </w:rPr>
        <w:t xml:space="preserve">на содержание одного работника, а также </w:t>
      </w:r>
      <w:r w:rsidRPr="004039C7">
        <w:rPr>
          <w:rFonts w:ascii="Times New Roman" w:hAnsi="Times New Roman"/>
          <w:sz w:val="28"/>
          <w:szCs w:val="28"/>
        </w:rPr>
        <w:t xml:space="preserve"> работников, осуществля</w:t>
      </w:r>
      <w:r w:rsidR="00B17168" w:rsidRPr="004039C7">
        <w:rPr>
          <w:rFonts w:ascii="Times New Roman" w:hAnsi="Times New Roman"/>
          <w:sz w:val="28"/>
          <w:szCs w:val="28"/>
        </w:rPr>
        <w:t>ющих работу по совместительству и выполняющих функции по первичному воинскому учету.</w:t>
      </w:r>
    </w:p>
    <w:p w:rsidR="00607CE0" w:rsidRPr="004039C7" w:rsidRDefault="002C06D0" w:rsidP="006F6D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9C7">
        <w:rPr>
          <w:rFonts w:ascii="Times New Roman" w:hAnsi="Times New Roman"/>
          <w:color w:val="000000"/>
          <w:sz w:val="28"/>
          <w:szCs w:val="28"/>
        </w:rPr>
        <w:t xml:space="preserve">В результате неправильного применения норм расчета количества работников, осуществляющих первичный воинский учет, установленных Постановлением Правительства Российской Федерации от 27 ноября 2006 года №719 </w:t>
      </w:r>
      <w:r w:rsidRPr="004039C7">
        <w:rPr>
          <w:rFonts w:ascii="Times New Roman" w:hAnsi="Times New Roman"/>
          <w:sz w:val="28"/>
          <w:szCs w:val="28"/>
        </w:rPr>
        <w:t>«Об утверждении Положения о воинском учете»</w:t>
      </w:r>
      <w:r w:rsidRPr="004039C7">
        <w:rPr>
          <w:rFonts w:ascii="Times New Roman" w:hAnsi="Times New Roman"/>
          <w:color w:val="000000"/>
          <w:sz w:val="28"/>
          <w:szCs w:val="28"/>
        </w:rPr>
        <w:t>, в 201</w:t>
      </w:r>
      <w:r w:rsidR="00B17168" w:rsidRPr="004039C7">
        <w:rPr>
          <w:rFonts w:ascii="Times New Roman" w:hAnsi="Times New Roman"/>
          <w:color w:val="000000"/>
          <w:sz w:val="28"/>
          <w:szCs w:val="28"/>
        </w:rPr>
        <w:t xml:space="preserve">6 и 2017 годах в муниципальных образованиях допускалось как завышение, так и занижение численности  единиц работников, осуществляющих воинский учет. </w:t>
      </w:r>
    </w:p>
    <w:p w:rsidR="002C06D0" w:rsidRPr="004039C7" w:rsidRDefault="002C06D0" w:rsidP="006F6DA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39C7">
        <w:rPr>
          <w:rFonts w:ascii="Times New Roman" w:hAnsi="Times New Roman"/>
          <w:color w:val="000000"/>
          <w:sz w:val="28"/>
          <w:szCs w:val="28"/>
        </w:rPr>
        <w:t xml:space="preserve">Субвенции, предоставленные в 2016-2017 годах Чукотскому автономному округу из федерального бюджета на осуществление </w:t>
      </w:r>
      <w:r w:rsidRPr="004039C7">
        <w:rPr>
          <w:rFonts w:ascii="Times New Roman" w:hAnsi="Times New Roman"/>
          <w:color w:val="000000"/>
          <w:sz w:val="28"/>
          <w:szCs w:val="28"/>
        </w:rPr>
        <w:lastRenderedPageBreak/>
        <w:t>полномочий по первичному воинскому учету на территориях, где отсутствуют военные комиссариаты, использованы по целевому назначению.</w:t>
      </w:r>
    </w:p>
    <w:p w:rsidR="00607CE0" w:rsidRPr="004039C7" w:rsidRDefault="002C06D0" w:rsidP="006F6DA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>По результа</w:t>
      </w:r>
      <w:r w:rsidR="006A6801" w:rsidRPr="004039C7">
        <w:rPr>
          <w:rFonts w:ascii="Times New Roman" w:hAnsi="Times New Roman"/>
          <w:sz w:val="28"/>
          <w:szCs w:val="28"/>
        </w:rPr>
        <w:t xml:space="preserve">там проведенного </w:t>
      </w:r>
      <w:r w:rsidRPr="004039C7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 w:rsidR="00B17168" w:rsidRPr="004039C7">
        <w:rPr>
          <w:rFonts w:ascii="Times New Roman" w:hAnsi="Times New Roman"/>
          <w:sz w:val="28"/>
          <w:szCs w:val="28"/>
        </w:rPr>
        <w:t xml:space="preserve"> направлены рекомендации Правительству Чукотского автономного окру</w:t>
      </w:r>
      <w:r w:rsidR="006A6801" w:rsidRPr="004039C7">
        <w:rPr>
          <w:rFonts w:ascii="Times New Roman" w:hAnsi="Times New Roman"/>
          <w:sz w:val="28"/>
          <w:szCs w:val="28"/>
        </w:rPr>
        <w:t>га и муниципальным образованиям, исполнение которых находится на контроле Счетной палаты.</w:t>
      </w:r>
    </w:p>
    <w:p w:rsidR="002C06D0" w:rsidRPr="004039C7" w:rsidRDefault="006A6801" w:rsidP="006F6DA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039C7">
        <w:rPr>
          <w:rFonts w:ascii="Times New Roman" w:hAnsi="Times New Roman"/>
          <w:sz w:val="28"/>
          <w:szCs w:val="28"/>
        </w:rPr>
        <w:t xml:space="preserve">В истекшем квартале проведено параллельное с контрольно-счетными органами субъектов Дальневосточного федерального округа мероприятие </w:t>
      </w:r>
      <w:r w:rsidRPr="004039C7">
        <w:rPr>
          <w:rFonts w:ascii="Times New Roman" w:hAnsi="Times New Roman"/>
          <w:b/>
          <w:sz w:val="28"/>
          <w:szCs w:val="28"/>
        </w:rPr>
        <w:t xml:space="preserve">«Анализ </w:t>
      </w:r>
      <w:r w:rsidR="00C333BB" w:rsidRPr="004039C7">
        <w:rPr>
          <w:rFonts w:ascii="Times New Roman" w:hAnsi="Times New Roman"/>
          <w:b/>
          <w:sz w:val="28"/>
          <w:szCs w:val="28"/>
        </w:rPr>
        <w:t>и предварительная оценка результативности реализации государственной программы Российской Федерации «Социально-экономическое развитие Дальнего Востока и Байкальского региона» на территории Чукотского автономного округа.</w:t>
      </w:r>
    </w:p>
    <w:p w:rsidR="00AE275C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Оценка и анализ хода формирования системы документов стратегического планирования, разрабатываемых в рамках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с учетом требований Федерального закона «О стратегическом планировании в Российской Федерации» (дале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Закон о стратегическом планировании) и внедрения проектных методов управления в рамках региональных государственных программ выявила следующее.</w:t>
      </w:r>
    </w:p>
    <w:p w:rsidR="00AE275C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В нарушение норм Закона о стратегическом планировании, в Чукотском автономном округе не разработаны документы стратегического планирования: прогноз социально-экономического развития Чукотского автономного округа на долгосрочный период, план мероприятий по реализации стратегии социально-экономического развития округа. </w:t>
      </w:r>
    </w:p>
    <w:p w:rsidR="00FA2951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Стратегию социально-экономического развития Чукотского автономного округа до 2030 года (дале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Стратегия развития округа) изменения, дополнения и корректировки ни разу не вносились, мониторинг реализации не проводился. При этом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в Стратегии развития округа отсутствует информация о государственных программах, являющихся основным инструментом ее реализации. Ожидаемые результаты реализации Стратегии развития округа не учитывают результаты создания на территории округа ТОСЭР «Беринговский» и  Свободного порта Владивосток (дале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СПВ) в городском округе Певек.</w:t>
      </w:r>
    </w:p>
    <w:p w:rsidR="00AE275C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Стратегии развития округа не запланированы результаты, предусмотренные Стратегией развития Дальнего Востока</w:t>
      </w:r>
      <w:r w:rsidR="00FA2951" w:rsidRPr="004039C7">
        <w:rPr>
          <w:rFonts w:ascii="Times New Roman" w:hAnsi="Times New Roman" w:cs="Times New Roman"/>
          <w:sz w:val="28"/>
          <w:szCs w:val="28"/>
        </w:rPr>
        <w:t xml:space="preserve"> в </w:t>
      </w:r>
      <w:r w:rsidRPr="004039C7">
        <w:rPr>
          <w:rFonts w:ascii="Times New Roman" w:hAnsi="Times New Roman" w:cs="Times New Roman"/>
          <w:sz w:val="28"/>
          <w:szCs w:val="28"/>
        </w:rPr>
        <w:t xml:space="preserve"> сферах: образования, здравоохранения, повышения качества питьевой воды, жилищного строительства, внедрения энергосберегающих технологий, миграции, эффективного использования добываемых водных биоресурсов, развит</w:t>
      </w:r>
      <w:r w:rsidR="00FA2951" w:rsidRPr="004039C7">
        <w:rPr>
          <w:rFonts w:ascii="Times New Roman" w:hAnsi="Times New Roman" w:cs="Times New Roman"/>
          <w:sz w:val="28"/>
          <w:szCs w:val="28"/>
        </w:rPr>
        <w:t>ие мощностей по переработке рыбы.</w:t>
      </w:r>
    </w:p>
    <w:p w:rsidR="00AE275C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lastRenderedPageBreak/>
        <w:t>В Стратегии развития округа не выделены цели и приоритеты социально-экономического развития, установленные Стратегией развития Арктической зоны. Индикативные показатели, установленные Стратегией развития округа</w:t>
      </w:r>
      <w:r w:rsidR="006F6DAC" w:rsidRPr="004039C7">
        <w:rPr>
          <w:rFonts w:ascii="Times New Roman" w:hAnsi="Times New Roman" w:cs="Times New Roman"/>
          <w:sz w:val="28"/>
          <w:szCs w:val="28"/>
        </w:rPr>
        <w:t>,</w:t>
      </w:r>
      <w:r w:rsidRPr="004039C7">
        <w:rPr>
          <w:rFonts w:ascii="Times New Roman" w:hAnsi="Times New Roman" w:cs="Times New Roman"/>
          <w:sz w:val="28"/>
          <w:szCs w:val="28"/>
        </w:rPr>
        <w:t xml:space="preserve"> не в полной мере соответствуют и сбалансированы с по</w:t>
      </w:r>
      <w:r w:rsidR="00E23CAB" w:rsidRPr="004039C7">
        <w:rPr>
          <w:rFonts w:ascii="Times New Roman" w:hAnsi="Times New Roman" w:cs="Times New Roman"/>
          <w:sz w:val="28"/>
          <w:szCs w:val="28"/>
        </w:rPr>
        <w:t>казателями Стратегии развития Дальнего Востока</w:t>
      </w:r>
      <w:r w:rsidRPr="004039C7">
        <w:rPr>
          <w:rFonts w:ascii="Times New Roman" w:hAnsi="Times New Roman" w:cs="Times New Roman"/>
          <w:sz w:val="28"/>
          <w:szCs w:val="28"/>
        </w:rPr>
        <w:t xml:space="preserve"> и Стратегии развития Арктической зоны.</w:t>
      </w:r>
    </w:p>
    <w:p w:rsidR="00AD7799" w:rsidRPr="004039C7" w:rsidRDefault="00AD7799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Инвестиционные проекты в рамках реализации госуда</w:t>
      </w:r>
      <w:r w:rsidR="005D2889" w:rsidRPr="004039C7">
        <w:rPr>
          <w:rFonts w:ascii="Times New Roman" w:hAnsi="Times New Roman" w:cs="Times New Roman"/>
          <w:sz w:val="28"/>
          <w:szCs w:val="28"/>
        </w:rPr>
        <w:t>рственной программы Российской Ф</w:t>
      </w:r>
      <w:r w:rsidRPr="004039C7">
        <w:rPr>
          <w:rFonts w:ascii="Times New Roman" w:hAnsi="Times New Roman" w:cs="Times New Roman"/>
          <w:sz w:val="28"/>
          <w:szCs w:val="28"/>
        </w:rPr>
        <w:t>едерации «Социально-экономическое развитие Дальнего Востока и Байкальского региона» на территории Чукотского автономного округа  реализовывались посредством федеральной целевой программы «Экономическое и социальное развитие Дальнего Востока и Байкальского региона до 2018 года» (далее</w:t>
      </w:r>
      <w:r w:rsidR="00600167">
        <w:rPr>
          <w:rFonts w:ascii="Times New Roman" w:hAnsi="Times New Roman" w:cs="Times New Roman"/>
          <w:sz w:val="28"/>
          <w:szCs w:val="28"/>
        </w:rPr>
        <w:t xml:space="preserve"> </w:t>
      </w:r>
      <w:r w:rsidRPr="004039C7">
        <w:rPr>
          <w:rFonts w:ascii="Times New Roman" w:hAnsi="Times New Roman" w:cs="Times New Roman"/>
          <w:sz w:val="28"/>
          <w:szCs w:val="28"/>
        </w:rPr>
        <w:t>-</w:t>
      </w:r>
      <w:r w:rsidR="00600167">
        <w:rPr>
          <w:rFonts w:ascii="Times New Roman" w:hAnsi="Times New Roman" w:cs="Times New Roman"/>
          <w:sz w:val="28"/>
          <w:szCs w:val="28"/>
        </w:rPr>
        <w:t xml:space="preserve"> </w:t>
      </w:r>
      <w:r w:rsidRPr="004039C7">
        <w:rPr>
          <w:rFonts w:ascii="Times New Roman" w:hAnsi="Times New Roman" w:cs="Times New Roman"/>
          <w:sz w:val="28"/>
          <w:szCs w:val="28"/>
        </w:rPr>
        <w:t>ФЦП).</w:t>
      </w:r>
    </w:p>
    <w:p w:rsidR="00AD7799" w:rsidRPr="004039C7" w:rsidRDefault="00F9391E" w:rsidP="006F6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ab/>
        <w:t>За 2014-2017 годы на финансирование 6 мероприятий по реконструкции и строительству 6 объектов федеральной собственности, предусмотренных ФЦП  к реализации на территории округа, из федерального бюджета направлен</w:t>
      </w:r>
      <w:r w:rsidR="00FA2951" w:rsidRPr="004039C7">
        <w:rPr>
          <w:rFonts w:ascii="Times New Roman" w:hAnsi="Times New Roman" w:cs="Times New Roman"/>
          <w:sz w:val="28"/>
          <w:szCs w:val="28"/>
        </w:rPr>
        <w:t>о</w:t>
      </w:r>
      <w:r w:rsidRPr="004039C7">
        <w:rPr>
          <w:rFonts w:ascii="Times New Roman" w:hAnsi="Times New Roman" w:cs="Times New Roman"/>
          <w:sz w:val="28"/>
          <w:szCs w:val="28"/>
        </w:rPr>
        <w:t xml:space="preserve"> 1 184,1 млн. рублей или 73% от плановых назначений. Реализованы 4 мероприятия: в эксплуатацию введен 1 объект, подготовлена проектно-сметная документация на 3 объекта.</w:t>
      </w:r>
      <w:r w:rsidR="00FA2951" w:rsidRPr="004039C7">
        <w:rPr>
          <w:rFonts w:ascii="Times New Roman" w:hAnsi="Times New Roman" w:cs="Times New Roman"/>
          <w:sz w:val="28"/>
          <w:szCs w:val="28"/>
        </w:rPr>
        <w:t xml:space="preserve"> За этот же период на финансирование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мероприятий по строительству 2 объектов региональной собственности, предусм</w:t>
      </w:r>
      <w:r w:rsidR="00FA2951" w:rsidRPr="004039C7">
        <w:rPr>
          <w:rFonts w:ascii="Times New Roman" w:hAnsi="Times New Roman" w:cs="Times New Roman"/>
          <w:sz w:val="28"/>
          <w:szCs w:val="28"/>
        </w:rPr>
        <w:t>отренных к реализации ФЦП</w:t>
      </w:r>
      <w:r w:rsidRPr="004039C7">
        <w:rPr>
          <w:rFonts w:ascii="Times New Roman" w:hAnsi="Times New Roman" w:cs="Times New Roman"/>
          <w:sz w:val="28"/>
          <w:szCs w:val="28"/>
        </w:rPr>
        <w:t>, за счет всех источников финансирования направлено 7 563,6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 или 93,6% от плановых назначений. При этом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обязательства окружного бюджета исполнены на 84,5%. В результате реализации программных мероприятий один объект сдан в эксплуатацию, второй находится на этапе ввода в эксплуатацию – проводятся технические испытания.</w:t>
      </w:r>
    </w:p>
    <w:p w:rsidR="00FA2951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На территории округа в 2014-2015 и 2017 годах реализовывалось 15 государственных программ Российской Федерации, в 2016 году – 16 программ. </w:t>
      </w:r>
    </w:p>
    <w:p w:rsidR="00FA2951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Из 15 предложений, направленных в 2014-2017 годах органами исполнительной власти Чукотского автономного округа в Минвостокразвития РФ о внесении в госпрограммы Российской Федерации дополнений или изменений, направленных на снижение инфраструктурных ограничений развития округа и решение социальных вопросов граждан, пр</w:t>
      </w:r>
      <w:r w:rsidR="00FA2951" w:rsidRPr="004039C7">
        <w:rPr>
          <w:rFonts w:ascii="Times New Roman" w:hAnsi="Times New Roman" w:cs="Times New Roman"/>
          <w:sz w:val="28"/>
          <w:szCs w:val="28"/>
        </w:rPr>
        <w:t>оживающих на территории округа</w:t>
      </w:r>
      <w:r w:rsidRPr="004039C7">
        <w:rPr>
          <w:rFonts w:ascii="Times New Roman" w:hAnsi="Times New Roman" w:cs="Times New Roman"/>
          <w:sz w:val="28"/>
          <w:szCs w:val="28"/>
        </w:rPr>
        <w:t>, учтены только 4</w:t>
      </w:r>
      <w:r w:rsidR="00FA2951" w:rsidRPr="004039C7">
        <w:rPr>
          <w:rFonts w:ascii="Times New Roman" w:hAnsi="Times New Roman" w:cs="Times New Roman"/>
          <w:sz w:val="28"/>
          <w:szCs w:val="28"/>
        </w:rPr>
        <w:t>.</w:t>
      </w:r>
    </w:p>
    <w:p w:rsidR="00CC1E48" w:rsidRPr="004039C7" w:rsidRDefault="00AE275C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В 2015 году на территории округа создана одна ТОСЭР «Беринговский». За период 2016-2017 годов и истекший период 2018 года на ТОСЭР зарегистрировано 26 резидентов с общим заявленным объемом инвестиций в размере 15 413,1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ублей, освоено по состоянию на 1 июля 2018 года - 1 535,9 млн.рублей или 10% от заявленн</w:t>
      </w:r>
      <w:r w:rsidR="00CC1E48" w:rsidRPr="004039C7">
        <w:rPr>
          <w:rFonts w:ascii="Times New Roman" w:hAnsi="Times New Roman" w:cs="Times New Roman"/>
          <w:sz w:val="28"/>
          <w:szCs w:val="28"/>
        </w:rPr>
        <w:t xml:space="preserve">ого объема инвестиций. </w:t>
      </w:r>
      <w:r w:rsidR="00CC1E48" w:rsidRPr="004039C7"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показатель накопленного объема инвестиций резидентов ТОСЭР, установленный для Чукотского автономного округа Госуда</w:t>
      </w:r>
      <w:r w:rsidR="00FA2951" w:rsidRPr="004039C7">
        <w:rPr>
          <w:rFonts w:ascii="Times New Roman" w:hAnsi="Times New Roman" w:cs="Times New Roman"/>
          <w:sz w:val="28"/>
          <w:szCs w:val="28"/>
        </w:rPr>
        <w:t>рственной программой развития Дальнего Востока</w:t>
      </w:r>
      <w:r w:rsidRPr="004039C7">
        <w:rPr>
          <w:rFonts w:ascii="Times New Roman" w:hAnsi="Times New Roman" w:cs="Times New Roman"/>
          <w:sz w:val="28"/>
          <w:szCs w:val="28"/>
        </w:rPr>
        <w:t>, по состоянию на 1 июня 2018 года, не достигнут. Показатель численности населения округа, характеризующий достижение основной цели реализации Государственной программы раз</w:t>
      </w:r>
      <w:r w:rsidR="00FA2951" w:rsidRPr="004039C7">
        <w:rPr>
          <w:rFonts w:ascii="Times New Roman" w:hAnsi="Times New Roman" w:cs="Times New Roman"/>
          <w:sz w:val="28"/>
          <w:szCs w:val="28"/>
        </w:rPr>
        <w:t>вития Дальнего Востока</w:t>
      </w:r>
      <w:r w:rsidRPr="004039C7">
        <w:rPr>
          <w:rFonts w:ascii="Times New Roman" w:hAnsi="Times New Roman" w:cs="Times New Roman"/>
          <w:sz w:val="28"/>
          <w:szCs w:val="28"/>
        </w:rPr>
        <w:t>, имеет устойчивую отрицательную динамику и за период 2014-2017 годов численность населения округа уменьшилась на 1,2 тыс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еловек или на 2,4%.</w:t>
      </w:r>
    </w:p>
    <w:p w:rsidR="00AE275C" w:rsidRPr="004039C7" w:rsidRDefault="00AE275C" w:rsidP="006F6DA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 Резидентами ТОСЭР «Беринговский» запланировано создание 1 294 рабочих мест, на 1 июня текущего года создано 374, в том числе высокопроизводительных рабочих мест – 197. Из общего числа вновь созданных рабочих мест, резидентами ТОСЭР проекты которых реализованы, созданы 42 рабочих места, что превысило плановый показатель (31 рабочее место) на 11.</w:t>
      </w:r>
    </w:p>
    <w:p w:rsidR="00CC1E48" w:rsidRPr="004039C7" w:rsidRDefault="00AE275C" w:rsidP="006F6D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2015 году в округе создана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СПВ на 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 xml:space="preserve"> первый резидент зарегистрирован в августе 2017 года. По состоянию на 1 июня 2018 года на территории СПВ зарегистрированы 4 резидента из которых 2 планируют инвестирование в объеме 13,4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 в производство минеральных и питьевых вод и их реализацию, 1 резидент в организацию птицеводства – 9,4 млн.рублей, 1 резидент в организацию растениеводства – 5,2 млн.рублей. По состоянию на 1 июня 2018 года освоены 2,5 млн</w:t>
      </w:r>
      <w:proofErr w:type="gramStart"/>
      <w:r w:rsidRPr="004039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39C7">
        <w:rPr>
          <w:rFonts w:ascii="Times New Roman" w:hAnsi="Times New Roman" w:cs="Times New Roman"/>
          <w:sz w:val="28"/>
          <w:szCs w:val="28"/>
        </w:rPr>
        <w:t>ублей инвестиций на организацию растениеводства или 9% от общего заявленного резидентами объема инвестиций.</w:t>
      </w:r>
      <w:r w:rsidRPr="004039C7">
        <w:rPr>
          <w:sz w:val="28"/>
          <w:szCs w:val="28"/>
        </w:rPr>
        <w:tab/>
      </w:r>
      <w:r w:rsidRPr="004039C7">
        <w:rPr>
          <w:rFonts w:ascii="Times New Roman" w:hAnsi="Times New Roman" w:cs="Times New Roman"/>
          <w:sz w:val="28"/>
          <w:szCs w:val="28"/>
        </w:rPr>
        <w:t>Резидентами СПВ запланирован</w:t>
      </w:r>
      <w:r w:rsidR="00607CE0" w:rsidRPr="004039C7">
        <w:rPr>
          <w:rFonts w:ascii="Times New Roman" w:hAnsi="Times New Roman" w:cs="Times New Roman"/>
          <w:sz w:val="28"/>
          <w:szCs w:val="28"/>
        </w:rPr>
        <w:t>о создание 21 рабочего места, однако,</w:t>
      </w:r>
      <w:r w:rsidRPr="004039C7">
        <w:rPr>
          <w:rFonts w:ascii="Times New Roman" w:hAnsi="Times New Roman" w:cs="Times New Roman"/>
          <w:sz w:val="28"/>
          <w:szCs w:val="28"/>
        </w:rPr>
        <w:t xml:space="preserve"> по состоянию на 1 июня текущего года рабочие места не созданы.</w:t>
      </w:r>
      <w:r w:rsidRPr="004039C7">
        <w:rPr>
          <w:rFonts w:ascii="Times New Roman" w:hAnsi="Times New Roman" w:cs="Times New Roman"/>
          <w:sz w:val="28"/>
          <w:szCs w:val="28"/>
        </w:rPr>
        <w:tab/>
      </w:r>
    </w:p>
    <w:p w:rsidR="00AE275C" w:rsidRPr="004039C7" w:rsidRDefault="00CC1E48" w:rsidP="006F6DAC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В результате анализа и оценки методологического обеспечения </w:t>
      </w:r>
      <w:r w:rsidR="003F2117" w:rsidRPr="004039C7">
        <w:rPr>
          <w:rFonts w:ascii="Times New Roman" w:hAnsi="Times New Roman" w:cs="Times New Roman"/>
          <w:sz w:val="28"/>
          <w:szCs w:val="28"/>
        </w:rPr>
        <w:t xml:space="preserve">и реализации Комплексного плана социально-экономического развития Чукотского автономного округа до 2025 </w:t>
      </w:r>
      <w:proofErr w:type="gramStart"/>
      <w:r w:rsidR="003F2117" w:rsidRPr="004039C7">
        <w:rPr>
          <w:rFonts w:ascii="Times New Roman" w:hAnsi="Times New Roman" w:cs="Times New Roman"/>
          <w:sz w:val="28"/>
          <w:szCs w:val="28"/>
        </w:rPr>
        <w:t>года,</w:t>
      </w:r>
      <w:r w:rsidR="00AE275C" w:rsidRPr="004039C7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3F2117" w:rsidRPr="004039C7">
        <w:rPr>
          <w:rFonts w:ascii="Times New Roman" w:hAnsi="Times New Roman" w:cs="Times New Roman"/>
          <w:sz w:val="28"/>
          <w:szCs w:val="28"/>
        </w:rPr>
        <w:t xml:space="preserve">ного </w:t>
      </w:r>
      <w:r w:rsidR="00AE275C" w:rsidRPr="004039C7">
        <w:rPr>
          <w:rFonts w:ascii="Times New Roman" w:hAnsi="Times New Roman" w:cs="Times New Roman"/>
          <w:sz w:val="28"/>
          <w:szCs w:val="28"/>
        </w:rPr>
        <w:t>распоряжением Правительства Чукотского автономного округа от 31.01.2018 №35-рп</w:t>
      </w:r>
      <w:r w:rsidR="003F2117" w:rsidRPr="004039C7">
        <w:rPr>
          <w:rFonts w:ascii="Times New Roman" w:hAnsi="Times New Roman" w:cs="Times New Roman"/>
          <w:sz w:val="28"/>
          <w:szCs w:val="28"/>
        </w:rPr>
        <w:t xml:space="preserve"> установлено</w:t>
      </w:r>
      <w:proofErr w:type="gramEnd"/>
      <w:r w:rsidR="003F2117" w:rsidRPr="004039C7">
        <w:rPr>
          <w:rFonts w:ascii="Times New Roman" w:hAnsi="Times New Roman" w:cs="Times New Roman"/>
          <w:sz w:val="28"/>
          <w:szCs w:val="28"/>
        </w:rPr>
        <w:t xml:space="preserve">, что он разработан </w:t>
      </w:r>
      <w:r w:rsidR="00AE275C" w:rsidRPr="004039C7">
        <w:rPr>
          <w:rFonts w:ascii="Times New Roman" w:hAnsi="Times New Roman" w:cs="Times New Roman"/>
          <w:sz w:val="28"/>
          <w:szCs w:val="28"/>
        </w:rPr>
        <w:t xml:space="preserve"> и основан на действующей Стратегии развития округа. </w:t>
      </w:r>
      <w:r w:rsidR="00AE275C"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 планом предусмотрены индикативные показатели реализации мероприятий (физические и финансовые), согласующиеся с показателями Стратегии развития округа. В то же время, в обоих анализируемых документах стратегического развития округа - Стратегии развития округа и Комплексном плане не поставлен акцент на обеспечении потребности округа в трудовых ресурсах и закреплении населения на территории округа, что установлено Госуда</w:t>
      </w:r>
      <w:r w:rsidR="003F2117"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рственной программой развития Дальнего Востока</w:t>
      </w:r>
      <w:r w:rsidR="00AE275C"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основная цель ее реализации.</w:t>
      </w:r>
    </w:p>
    <w:p w:rsidR="005D4FD3" w:rsidRPr="004039C7" w:rsidRDefault="003F2117" w:rsidP="006F6D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 данного экспертно-аналитического мероприятия проведен анализ и оценка реализации Федерального закона от 01.05.2016 года №119-ФЗ «Об особенностях предоставления гражданам земельных участков, находящихся в государственной или муниципальной собственности, расположенных на территориях субъектов Российской Федерации, входящих в состав ДФО»</w:t>
      </w:r>
      <w:r w:rsidR="005D4FD3"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которой установлено, что на территории Чукотского автономного округа закон успешно реализуется.</w:t>
      </w:r>
      <w:proofErr w:type="gramEnd"/>
      <w:r w:rsidR="005D4FD3"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состоянию на 1 июля 2018 года заключено 490 договоров безвозмездного пользования земельными участками общей площадью 69,48 га.</w:t>
      </w:r>
      <w:r w:rsidR="005D4FD3" w:rsidRPr="004039C7">
        <w:rPr>
          <w:rFonts w:ascii="Times New Roman" w:hAnsi="Times New Roman" w:cs="Times New Roman"/>
          <w:sz w:val="28"/>
          <w:szCs w:val="28"/>
        </w:rPr>
        <w:t xml:space="preserve"> Наибольший удельный вес при использовании земельных участков занимают: «Объекты гаражного назначения» - 49,2%, «Личное подсобное хозяйство» - 19,1%, «Растениеводство, овощеводство, огородничество, садоводство» - 17,4%.</w:t>
      </w:r>
    </w:p>
    <w:p w:rsidR="005D4FD3" w:rsidRPr="004039C7" w:rsidRDefault="005D4FD3" w:rsidP="006F6DA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 xml:space="preserve">Наибольшее количество договоров заключено в Чукотском муниципальном районе – 205, наибольшая площадь земельных участков выделена в </w:t>
      </w:r>
      <w:proofErr w:type="spellStart"/>
      <w:r w:rsidRPr="004039C7">
        <w:rPr>
          <w:rFonts w:ascii="Times New Roman" w:hAnsi="Times New Roman" w:cs="Times New Roman"/>
          <w:sz w:val="28"/>
          <w:szCs w:val="28"/>
        </w:rPr>
        <w:t>Анадырском</w:t>
      </w:r>
      <w:proofErr w:type="spellEnd"/>
      <w:r w:rsidRPr="004039C7">
        <w:rPr>
          <w:rFonts w:ascii="Times New Roman" w:hAnsi="Times New Roman" w:cs="Times New Roman"/>
          <w:sz w:val="28"/>
          <w:szCs w:val="28"/>
        </w:rPr>
        <w:t xml:space="preserve"> муниципальном районе – 22,13 га. Оказание финансовой поддержки субъектам предпринимательской деятельности – участникам программы «Дальневосточный гектар» осуществляется посредством реализации государственной программы Чукотского автономного округа «Стимулирование экономической активности населения Чукотского автономного округа на 2014-2020 годы».</w:t>
      </w:r>
    </w:p>
    <w:p w:rsidR="00AE275C" w:rsidRPr="004039C7" w:rsidRDefault="005D4FD3" w:rsidP="006F6D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экспертно-аналитического мероприятия, в целях выявленных недостатков, Правительству </w:t>
      </w:r>
      <w:r w:rsidR="009C62CB" w:rsidRPr="00403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направлены рекомендации.</w:t>
      </w:r>
    </w:p>
    <w:p w:rsidR="003F2117" w:rsidRPr="004039C7" w:rsidRDefault="006F37CF" w:rsidP="006F6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9C7">
        <w:rPr>
          <w:rFonts w:ascii="Times New Roman" w:hAnsi="Times New Roman" w:cs="Times New Roman"/>
          <w:sz w:val="28"/>
          <w:szCs w:val="28"/>
        </w:rPr>
        <w:t>Постановлением Правительства Чукотского автономного округа от 19 сентября 2018 года № 293 внесены изменения в Постановление от 31 декабря 2015 года «Об утверждении</w:t>
      </w:r>
      <w:r w:rsidR="0020185B" w:rsidRPr="004039C7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 мониторинга и контроля реализации стратегии социально-экономического развития Чукотского автономного округа, плана мероприятий реализации стратегии социально-экономического развития Чукотского автономного округа». 26 сентября 2018 года  Принято распоряжение Правительства  Чукотского автономного округа № 400-рп «О корректировке Стратегии социально-экономического</w:t>
      </w:r>
      <w:proofErr w:type="gramEnd"/>
      <w:r w:rsidR="0020185B" w:rsidRPr="004039C7">
        <w:rPr>
          <w:rFonts w:ascii="Times New Roman" w:hAnsi="Times New Roman" w:cs="Times New Roman"/>
          <w:sz w:val="28"/>
          <w:szCs w:val="28"/>
        </w:rPr>
        <w:t xml:space="preserve"> развития Чукотского автономного округа до 2030 года и разработке </w:t>
      </w:r>
      <w:proofErr w:type="gramStart"/>
      <w:r w:rsidR="0020185B" w:rsidRPr="004039C7">
        <w:rPr>
          <w:rFonts w:ascii="Times New Roman" w:hAnsi="Times New Roman" w:cs="Times New Roman"/>
          <w:sz w:val="28"/>
          <w:szCs w:val="28"/>
        </w:rPr>
        <w:t xml:space="preserve">плана мероприятий реализации </w:t>
      </w:r>
      <w:r w:rsidR="00964D9F" w:rsidRPr="004039C7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Чукотского автономного округа</w:t>
      </w:r>
      <w:proofErr w:type="gramEnd"/>
      <w:r w:rsidR="00964D9F" w:rsidRPr="004039C7">
        <w:rPr>
          <w:rFonts w:ascii="Times New Roman" w:hAnsi="Times New Roman" w:cs="Times New Roman"/>
          <w:sz w:val="28"/>
          <w:szCs w:val="28"/>
        </w:rPr>
        <w:t xml:space="preserve"> до 2030 года».</w:t>
      </w:r>
    </w:p>
    <w:p w:rsidR="005B0AFB" w:rsidRPr="004039C7" w:rsidRDefault="004A6DF6" w:rsidP="006001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9C7">
        <w:rPr>
          <w:rFonts w:ascii="Times New Roman" w:hAnsi="Times New Roman" w:cs="Times New Roman"/>
          <w:sz w:val="28"/>
          <w:szCs w:val="28"/>
        </w:rPr>
        <w:t>Постановлениями Правительства автономного округа утверждено Положение об организации проектной деятельности в Чукотском автономном округе, а также создан Совет по приоритетным проектам и программам Чукотского автономного округа.</w:t>
      </w:r>
    </w:p>
    <w:sectPr w:rsidR="005B0AFB" w:rsidRPr="004039C7" w:rsidSect="003E76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B6" w:rsidRDefault="007B4BB6" w:rsidP="004039C7">
      <w:pPr>
        <w:spacing w:after="0" w:line="240" w:lineRule="auto"/>
      </w:pPr>
      <w:r>
        <w:separator/>
      </w:r>
    </w:p>
  </w:endnote>
  <w:endnote w:type="continuationSeparator" w:id="1">
    <w:p w:rsidR="007B4BB6" w:rsidRDefault="007B4BB6" w:rsidP="0040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2172"/>
      <w:docPartObj>
        <w:docPartGallery w:val="Page Numbers (Bottom of Page)"/>
        <w:docPartUnique/>
      </w:docPartObj>
    </w:sdtPr>
    <w:sdtContent>
      <w:p w:rsidR="007B4BB6" w:rsidRDefault="007B4BB6">
        <w:pPr>
          <w:pStyle w:val="ad"/>
          <w:jc w:val="right"/>
        </w:pPr>
        <w:fldSimple w:instr=" PAGE   \* MERGEFORMAT ">
          <w:r w:rsidR="00600167">
            <w:rPr>
              <w:noProof/>
            </w:rPr>
            <w:t>21</w:t>
          </w:r>
        </w:fldSimple>
      </w:p>
    </w:sdtContent>
  </w:sdt>
  <w:p w:rsidR="007B4BB6" w:rsidRDefault="007B4B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B6" w:rsidRDefault="007B4BB6" w:rsidP="004039C7">
      <w:pPr>
        <w:spacing w:after="0" w:line="240" w:lineRule="auto"/>
      </w:pPr>
      <w:r>
        <w:separator/>
      </w:r>
    </w:p>
  </w:footnote>
  <w:footnote w:type="continuationSeparator" w:id="1">
    <w:p w:rsidR="007B4BB6" w:rsidRDefault="007B4BB6" w:rsidP="00403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A3C21"/>
    <w:multiLevelType w:val="hybridMultilevel"/>
    <w:tmpl w:val="9280B5BE"/>
    <w:lvl w:ilvl="0" w:tplc="F81A91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A02665A"/>
    <w:multiLevelType w:val="hybridMultilevel"/>
    <w:tmpl w:val="4E7C702C"/>
    <w:lvl w:ilvl="0" w:tplc="DCE2509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C65"/>
    <w:rsid w:val="000136A9"/>
    <w:rsid w:val="00015963"/>
    <w:rsid w:val="00064D61"/>
    <w:rsid w:val="000A3687"/>
    <w:rsid w:val="000A431A"/>
    <w:rsid w:val="000C0793"/>
    <w:rsid w:val="000C6B6B"/>
    <w:rsid w:val="00140856"/>
    <w:rsid w:val="00150FFD"/>
    <w:rsid w:val="001661F8"/>
    <w:rsid w:val="001D5ABE"/>
    <w:rsid w:val="0020185B"/>
    <w:rsid w:val="002556B9"/>
    <w:rsid w:val="00296FFE"/>
    <w:rsid w:val="002A6449"/>
    <w:rsid w:val="002C06D0"/>
    <w:rsid w:val="002E51D5"/>
    <w:rsid w:val="002F3823"/>
    <w:rsid w:val="003101DF"/>
    <w:rsid w:val="003311B3"/>
    <w:rsid w:val="00345D0E"/>
    <w:rsid w:val="003B0B45"/>
    <w:rsid w:val="003B196B"/>
    <w:rsid w:val="003E102D"/>
    <w:rsid w:val="003E76EE"/>
    <w:rsid w:val="003F2117"/>
    <w:rsid w:val="004039C7"/>
    <w:rsid w:val="004063C6"/>
    <w:rsid w:val="0042515D"/>
    <w:rsid w:val="00432DAE"/>
    <w:rsid w:val="00474103"/>
    <w:rsid w:val="004A6DF6"/>
    <w:rsid w:val="004B152D"/>
    <w:rsid w:val="00510C81"/>
    <w:rsid w:val="00556AC9"/>
    <w:rsid w:val="005601A5"/>
    <w:rsid w:val="005874C7"/>
    <w:rsid w:val="005A32B6"/>
    <w:rsid w:val="005B0AFB"/>
    <w:rsid w:val="005D2889"/>
    <w:rsid w:val="005D4FD3"/>
    <w:rsid w:val="005D6862"/>
    <w:rsid w:val="005E5EB7"/>
    <w:rsid w:val="00600167"/>
    <w:rsid w:val="00602CBA"/>
    <w:rsid w:val="00607CE0"/>
    <w:rsid w:val="00631094"/>
    <w:rsid w:val="0066632C"/>
    <w:rsid w:val="00675231"/>
    <w:rsid w:val="006A6801"/>
    <w:rsid w:val="006F37CF"/>
    <w:rsid w:val="006F6DAC"/>
    <w:rsid w:val="006F6DEE"/>
    <w:rsid w:val="007600C8"/>
    <w:rsid w:val="00781A71"/>
    <w:rsid w:val="00785FE1"/>
    <w:rsid w:val="007A2294"/>
    <w:rsid w:val="007B4BB6"/>
    <w:rsid w:val="007C2A54"/>
    <w:rsid w:val="007C77EF"/>
    <w:rsid w:val="007E5CAE"/>
    <w:rsid w:val="00815DF2"/>
    <w:rsid w:val="00827E71"/>
    <w:rsid w:val="00831E41"/>
    <w:rsid w:val="00882B28"/>
    <w:rsid w:val="00894D88"/>
    <w:rsid w:val="008A345F"/>
    <w:rsid w:val="008B2FA3"/>
    <w:rsid w:val="008C4E37"/>
    <w:rsid w:val="008D15DC"/>
    <w:rsid w:val="008D5E26"/>
    <w:rsid w:val="008E3503"/>
    <w:rsid w:val="008F5FFC"/>
    <w:rsid w:val="00904CDB"/>
    <w:rsid w:val="00906D7A"/>
    <w:rsid w:val="00936242"/>
    <w:rsid w:val="00964D9F"/>
    <w:rsid w:val="009675BB"/>
    <w:rsid w:val="00991B20"/>
    <w:rsid w:val="009A19D0"/>
    <w:rsid w:val="009C3748"/>
    <w:rsid w:val="009C4236"/>
    <w:rsid w:val="009C62CB"/>
    <w:rsid w:val="00A0263B"/>
    <w:rsid w:val="00A3014E"/>
    <w:rsid w:val="00A3166F"/>
    <w:rsid w:val="00A32B85"/>
    <w:rsid w:val="00A81C65"/>
    <w:rsid w:val="00A9267B"/>
    <w:rsid w:val="00A93F23"/>
    <w:rsid w:val="00AA6916"/>
    <w:rsid w:val="00AC62DF"/>
    <w:rsid w:val="00AD665A"/>
    <w:rsid w:val="00AD7799"/>
    <w:rsid w:val="00AE275C"/>
    <w:rsid w:val="00AF2405"/>
    <w:rsid w:val="00B17168"/>
    <w:rsid w:val="00B4725A"/>
    <w:rsid w:val="00B759BF"/>
    <w:rsid w:val="00B82A54"/>
    <w:rsid w:val="00B93242"/>
    <w:rsid w:val="00BA1B08"/>
    <w:rsid w:val="00BB17BC"/>
    <w:rsid w:val="00BE09C2"/>
    <w:rsid w:val="00C01680"/>
    <w:rsid w:val="00C200BC"/>
    <w:rsid w:val="00C255CB"/>
    <w:rsid w:val="00C333BB"/>
    <w:rsid w:val="00C33E87"/>
    <w:rsid w:val="00C604FF"/>
    <w:rsid w:val="00CC1E48"/>
    <w:rsid w:val="00D15A70"/>
    <w:rsid w:val="00D27652"/>
    <w:rsid w:val="00D51A72"/>
    <w:rsid w:val="00D60BB7"/>
    <w:rsid w:val="00D97F98"/>
    <w:rsid w:val="00DB2470"/>
    <w:rsid w:val="00DD70B2"/>
    <w:rsid w:val="00DE0127"/>
    <w:rsid w:val="00E11798"/>
    <w:rsid w:val="00E23BEF"/>
    <w:rsid w:val="00E23CAB"/>
    <w:rsid w:val="00E6316B"/>
    <w:rsid w:val="00E8055F"/>
    <w:rsid w:val="00E8649B"/>
    <w:rsid w:val="00E870C6"/>
    <w:rsid w:val="00E91E36"/>
    <w:rsid w:val="00EA2E4E"/>
    <w:rsid w:val="00EA3177"/>
    <w:rsid w:val="00EA5E2D"/>
    <w:rsid w:val="00EB2C14"/>
    <w:rsid w:val="00EC504C"/>
    <w:rsid w:val="00ED2289"/>
    <w:rsid w:val="00F010B8"/>
    <w:rsid w:val="00F36557"/>
    <w:rsid w:val="00F408AE"/>
    <w:rsid w:val="00F47B6A"/>
    <w:rsid w:val="00F534FA"/>
    <w:rsid w:val="00F6003E"/>
    <w:rsid w:val="00F9391E"/>
    <w:rsid w:val="00FA2951"/>
    <w:rsid w:val="00FD0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2289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345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45D0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345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45D0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uiPriority w:val="99"/>
    <w:qFormat/>
    <w:rsid w:val="00345D0E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3">
    <w:name w:val="Font Style13"/>
    <w:basedOn w:val="a0"/>
    <w:uiPriority w:val="99"/>
    <w:rsid w:val="00345D0E"/>
    <w:rPr>
      <w:rFonts w:ascii="Times New Roman" w:hAnsi="Times New Roman" w:cs="Times New Roman" w:hint="default"/>
      <w:spacing w:val="10"/>
      <w:sz w:val="20"/>
      <w:szCs w:val="20"/>
    </w:rPr>
  </w:style>
  <w:style w:type="paragraph" w:styleId="2">
    <w:name w:val="Body Text Indent 2"/>
    <w:basedOn w:val="a"/>
    <w:link w:val="20"/>
    <w:semiHidden/>
    <w:unhideWhenUsed/>
    <w:rsid w:val="008B2F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B2F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8B2FA3"/>
    <w:rPr>
      <w:rFonts w:ascii="Times New Roman" w:hAnsi="Times New Roman" w:cs="Times New Roman" w:hint="default"/>
      <w:sz w:val="26"/>
      <w:szCs w:val="26"/>
    </w:rPr>
  </w:style>
  <w:style w:type="paragraph" w:styleId="a6">
    <w:name w:val="Title"/>
    <w:basedOn w:val="a"/>
    <w:link w:val="a7"/>
    <w:qFormat/>
    <w:rsid w:val="00602CB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02CB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602CBA"/>
    <w:rPr>
      <w:rFonts w:ascii="Calibri" w:eastAsia="Times New Roman" w:hAnsi="Calibri" w:cs="Calibri"/>
    </w:rPr>
  </w:style>
  <w:style w:type="paragraph" w:styleId="a9">
    <w:name w:val="No Spacing"/>
    <w:link w:val="a8"/>
    <w:uiPriority w:val="1"/>
    <w:qFormat/>
    <w:rsid w:val="00602CBA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2C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C06D0"/>
  </w:style>
  <w:style w:type="paragraph" w:styleId="ab">
    <w:name w:val="header"/>
    <w:basedOn w:val="a"/>
    <w:link w:val="ac"/>
    <w:uiPriority w:val="99"/>
    <w:semiHidden/>
    <w:unhideWhenUsed/>
    <w:rsid w:val="0040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39C7"/>
  </w:style>
  <w:style w:type="paragraph" w:styleId="ad">
    <w:name w:val="footer"/>
    <w:basedOn w:val="a"/>
    <w:link w:val="ae"/>
    <w:uiPriority w:val="99"/>
    <w:unhideWhenUsed/>
    <w:rsid w:val="00403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3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7289</Words>
  <Characters>41551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Счетная палата Чукотского автономного округа</Company>
  <LinksUpToDate>false</LinksUpToDate>
  <CharactersWithSpaces>48743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Троцинская</dc:creator>
  <cp:keywords/>
  <dc:description/>
  <cp:lastModifiedBy>Солодкова АА</cp:lastModifiedBy>
  <cp:revision>3</cp:revision>
  <cp:lastPrinted>2018-10-10T04:08:00Z</cp:lastPrinted>
  <dcterms:created xsi:type="dcterms:W3CDTF">2018-11-21T22:55:00Z</dcterms:created>
  <dcterms:modified xsi:type="dcterms:W3CDTF">2018-11-21T23:14:00Z</dcterms:modified>
</cp:coreProperties>
</file>